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5DCB0">
      <w:pPr>
        <w:widowControl/>
        <w:ind w:firstLine="0" w:firstLineChars="0"/>
        <w:jc w:val="center"/>
        <w:rPr>
          <w:rFonts w:hint="eastAsia" w:asciiTheme="majorEastAsia" w:hAnsiTheme="majorEastAsia" w:eastAsiaTheme="majorEastAsia" w:cstheme="majorEastAsia"/>
          <w:b/>
          <w:bCs/>
          <w:w w:val="100"/>
          <w:sz w:val="36"/>
          <w:szCs w:val="36"/>
          <w:lang w:val="en-US" w:eastAsia="zh-CN"/>
        </w:rPr>
      </w:pPr>
      <w:bookmarkStart w:id="0" w:name="_GoBack"/>
      <w:bookmarkEnd w:id="0"/>
      <w:r>
        <w:rPr>
          <w:rFonts w:hint="eastAsia" w:asciiTheme="majorEastAsia" w:hAnsiTheme="majorEastAsia" w:eastAsiaTheme="majorEastAsia" w:cstheme="majorEastAsia"/>
          <w:b/>
          <w:bCs/>
          <w:w w:val="100"/>
          <w:sz w:val="36"/>
          <w:szCs w:val="36"/>
          <w:lang w:val="en-US" w:eastAsia="zh-CN"/>
        </w:rPr>
        <w:t>武汉市汉阳区四台、黄金口片区土地征收成片开发</w:t>
      </w:r>
    </w:p>
    <w:p w14:paraId="1E1BA846">
      <w:pPr>
        <w:widowControl/>
        <w:ind w:firstLine="0" w:firstLineChars="0"/>
        <w:jc w:val="center"/>
        <w:rPr>
          <w:rFonts w:hint="eastAsia" w:asciiTheme="majorEastAsia" w:hAnsiTheme="majorEastAsia" w:eastAsiaTheme="majorEastAsia" w:cstheme="majorEastAsia"/>
          <w:b/>
          <w:bCs/>
          <w:w w:val="100"/>
          <w:sz w:val="36"/>
          <w:szCs w:val="36"/>
          <w:lang w:val="en-US" w:eastAsia="zh-CN"/>
        </w:rPr>
      </w:pPr>
      <w:r>
        <w:rPr>
          <w:rFonts w:hint="eastAsia" w:asciiTheme="majorEastAsia" w:hAnsiTheme="majorEastAsia" w:eastAsiaTheme="majorEastAsia" w:cstheme="majorEastAsia"/>
          <w:b/>
          <w:bCs/>
          <w:w w:val="100"/>
          <w:sz w:val="36"/>
          <w:szCs w:val="36"/>
          <w:lang w:val="en-US" w:eastAsia="zh-CN"/>
        </w:rPr>
        <w:t>调整方案（征求意见稿）</w:t>
      </w:r>
    </w:p>
    <w:p w14:paraId="4740D6A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36"/>
          <w:szCs w:val="36"/>
          <w:lang w:val="en-US" w:eastAsia="zh-CN"/>
        </w:rPr>
      </w:pPr>
    </w:p>
    <w:p w14:paraId="6310FF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一、编制依据</w:t>
      </w:r>
    </w:p>
    <w:p w14:paraId="5585A1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为促进汉阳区经济社会发展和公共利益需要，根据《中华人民共和国土地管理法》《自然资源部关于印发〈土地征收成片开发标准〉的通知》（自然资规〔2023〕7号）和《省自然资源厅关于印发〈湖北省土地征收成片开发实施细则〉的通知》（鄂自然资发〔2024〕23号）、《省自然资源厅关于印发〈湖北省土地征收成片开发实施细则（试行）〉的通知》（鄂自然资规〔2021〕3号）有关规定，汉阳区人民政府组织</w:t>
      </w:r>
      <w:r>
        <w:rPr>
          <w:rFonts w:hint="default" w:ascii="Times New Roman" w:hAnsi="Times New Roman" w:eastAsia="仿宋" w:cs="Times New Roman"/>
          <w:color w:val="000000" w:themeColor="text1"/>
          <w:sz w:val="32"/>
          <w:szCs w:val="32"/>
          <w14:textFill>
            <w14:solidFill>
              <w14:schemeClr w14:val="tx1"/>
            </w14:solidFill>
          </w14:textFill>
        </w:rPr>
        <w:t>编制《武汉市汉阳区四台、黄金口片区土地征收成片开发调整方案》（以下简称</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调整方案</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w:t>
      </w:r>
    </w:p>
    <w:p w14:paraId="078D8C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二、基本情况</w:t>
      </w:r>
    </w:p>
    <w:p w14:paraId="2ACB41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原方案于2022年</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12</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21</w:t>
      </w:r>
      <w:r>
        <w:rPr>
          <w:rFonts w:hint="default" w:ascii="Times New Roman" w:hAnsi="Times New Roman" w:eastAsia="仿宋" w:cs="Times New Roman"/>
          <w:color w:val="000000" w:themeColor="text1"/>
          <w:sz w:val="32"/>
          <w:szCs w:val="32"/>
          <w14:textFill>
            <w14:solidFill>
              <w14:schemeClr w14:val="tx1"/>
            </w14:solidFill>
          </w14:textFill>
        </w:rPr>
        <w:t>日获武汉市人民政府办公厅批复，位于汉阳区永丰街四台村、黄金口村。共涉及2个区块，其中：集中连片区块面积78.6665公顷，四至范围为：北至襄河南路，南至百威西路，西至襄河堤，东至现状百乐工业园；零星地区块面积0.8957公顷，位于现状百威路与郭茨口路交叉口附近。</w:t>
      </w:r>
    </w:p>
    <w:p w14:paraId="00F387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为保障成片开发方案的预期完成程度，推动汉阳区后续报地工作的顺利开展，拟将</w:t>
      </w:r>
      <w:r>
        <w:rPr>
          <w:rFonts w:hint="eastAsia" w:ascii="Times New Roman" w:hAnsi="Times New Roman" w:eastAsia="仿宋" w:cs="Times New Roman"/>
          <w:color w:val="000000" w:themeColor="text1"/>
          <w:sz w:val="32"/>
          <w:szCs w:val="32"/>
          <w:lang w:eastAsia="zh-CN"/>
          <w14:textFill>
            <w14:solidFill>
              <w14:schemeClr w14:val="tx1"/>
            </w14:solidFill>
          </w14:textFill>
        </w:rPr>
        <w:t>原方案中</w:t>
      </w:r>
      <w:r>
        <w:rPr>
          <w:rFonts w:hint="default" w:ascii="Times New Roman" w:hAnsi="Times New Roman" w:eastAsia="仿宋" w:cs="Times New Roman"/>
          <w:color w:val="000000" w:themeColor="text1"/>
          <w:sz w:val="32"/>
          <w:szCs w:val="32"/>
          <w14:textFill>
            <w14:solidFill>
              <w14:schemeClr w14:val="tx1"/>
            </w14:solidFill>
          </w14:textFill>
        </w:rPr>
        <w:t>部分</w:t>
      </w:r>
      <w:r>
        <w:rPr>
          <w:rFonts w:hint="eastAsia" w:ascii="Times New Roman" w:hAnsi="Times New Roman" w:eastAsia="仿宋" w:cs="Times New Roman"/>
          <w:color w:val="000000" w:themeColor="text1"/>
          <w:sz w:val="32"/>
          <w:szCs w:val="32"/>
          <w:lang w:eastAsia="zh-CN"/>
          <w14:textFill>
            <w14:solidFill>
              <w14:schemeClr w14:val="tx1"/>
            </w14:solidFill>
          </w14:textFill>
        </w:rPr>
        <w:t>规划什湖公园</w:t>
      </w:r>
      <w:r>
        <w:rPr>
          <w:rFonts w:hint="default" w:ascii="Times New Roman" w:hAnsi="Times New Roman" w:eastAsia="仿宋" w:cs="Times New Roman"/>
          <w:color w:val="000000" w:themeColor="text1"/>
          <w:sz w:val="32"/>
          <w:szCs w:val="32"/>
          <w14:textFill>
            <w14:solidFill>
              <w14:schemeClr w14:val="tx1"/>
            </w14:solidFill>
          </w14:textFill>
        </w:rPr>
        <w:t>用地调出。后续将依据城市建设计划，分批次办理用地手续。调整后方案拟征收土地面积</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44.2241</w:t>
      </w:r>
      <w:r>
        <w:rPr>
          <w:rFonts w:hint="default" w:ascii="Times New Roman" w:hAnsi="Times New Roman" w:eastAsia="仿宋" w:cs="Times New Roman"/>
          <w:color w:val="000000" w:themeColor="text1"/>
          <w:sz w:val="32"/>
          <w:szCs w:val="32"/>
          <w14:textFill>
            <w14:solidFill>
              <w14:schemeClr w14:val="tx1"/>
            </w14:solidFill>
          </w14:textFill>
        </w:rPr>
        <w:t>公顷。</w:t>
      </w:r>
    </w:p>
    <w:p w14:paraId="07A8EB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三、成片开发的必要性</w:t>
      </w:r>
    </w:p>
    <w:p w14:paraId="6AA5C4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1.在促进国土空间规划实施方面。</w:t>
      </w:r>
    </w:p>
    <w:p w14:paraId="5F7CE0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本调整方案成片开发范围位于《武汉市国土空间总体规划》确定的城镇开发边界范围内，按照武汉市规划一张图、法定分区管控要求和法定用地管控要求，区政府组织对范围内的土地进行综合性开发建设活动，方案通过统筹规划用地布局，合理分配资源，实现功能协调，以规划保障来引导产业有序集聚，发展现代产业集群，同时拓展了城市的开敞绿色空间，构建水系、绿带等生态廊道，切实改善居民生活环境，提高居民生活水平。</w:t>
      </w:r>
    </w:p>
    <w:p w14:paraId="3A3C18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2.在提高土地利用效率方面。</w:t>
      </w:r>
    </w:p>
    <w:p w14:paraId="73E644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本调整方案在原有城中村改造方案和储备用地使用计划基础上，统一组织实施基础设施建设，加快推动区域的开发建设，对周围提高工业用地投入产出效益起到带动引领作用，实现土地资源的合理高效利用。</w:t>
      </w:r>
    </w:p>
    <w:p w14:paraId="58363B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3.项目落地对产业发展、带动就业方面的作用。</w:t>
      </w:r>
    </w:p>
    <w:p w14:paraId="3A6DF6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根据汉阳区2022年政府工作报告要求，汉阳区要强化产业支撑，坚定不移提高发展质量，落实高新技术企业“倍增计划”，加快推进全域自主创新，为高新技术企业、科技型企业等提供全方位高质效创新创业服务。本调整方案拟对接的新能源产业、百威集团扩建、智能仓储物流等项目为高新产业转型的升级项目，为引入新项目创造条件，吸引更多的高新企业落户，工业生产、城市管理公益性岗位等需要大量的人力资源，为当地及周边被征地农民、城乡居民创造就业机会和工作岗位；项目建成后会有效提高汉阳区在新能源领域资源整合、技术推广和该领域高端技术人才吸引力。</w:t>
      </w:r>
    </w:p>
    <w:p w14:paraId="37795B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4.其他方面。</w:t>
      </w:r>
    </w:p>
    <w:p w14:paraId="04AE93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区政府组织各部门对范围内的产业发展和公共基础设施建设进行合理的统筹与规划，促使产业发展规模化、集中化，完善产业结构和基础设施配套，形成功能完善的土地区块；在提升公共服务水平的同时，加快土地流转和节约土地基础开发成本。</w:t>
      </w:r>
    </w:p>
    <w:p w14:paraId="0789C1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四、规划符合情况</w:t>
      </w:r>
    </w:p>
    <w:p w14:paraId="4A4A71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本调整</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方案符合《武汉市国民经济和社会发展第十四个五年规划和二〇三五年远景目标纲要》《武汉市汉阳区国民经济和社会发展第十四个五年规划和二〇三五年远景目标纲要》</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符合自然资源部下发启用的武汉市“三区三线”划定成果；本方案用地布局符合《武汉都市发展区新城组群B0501编制单元控制性详细规划导则》《中法武汉生态示范城控制性详细规划》《四新中心区用地规划》和《武汉市规划管理“一张图”》；未突破武汉市汉阳区建设用地总规模、耕地保有量等指标，不与生态环境保护、自然与历史文化遗产保护、防灾减灾等强制性内容冲突，不与生态保护红线和永久基本农田等管控要求冲突，符合汉阳区资源环境承载力评价和国土开发适宜性评价、国土空间开发保护现状评估、现行空间类规划实施情况评估要求，不与新的国土空间总体规划管控要求冲突。</w:t>
      </w:r>
    </w:p>
    <w:p w14:paraId="5A9D8D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000000" w:themeColor="text1"/>
          <w:sz w:val="32"/>
          <w:szCs w:val="32"/>
          <w:lang w:val="en-US" w:eastAsia="zh-CN"/>
          <w14:textFill>
            <w14:solidFill>
              <w14:schemeClr w14:val="tx1"/>
            </w14:solidFill>
          </w14:textFill>
        </w:rPr>
      </w:pPr>
    </w:p>
    <w:p w14:paraId="00AFCA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五、主要用途和功能</w:t>
      </w:r>
    </w:p>
    <w:p w14:paraId="533F62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本调整方案地块主要用途为工业生产、公园绿地、城市住宅、邻里中心、道路交通功能。其中，工业用地43.2426公顷，占比55.69%，拟实现工业生产功能；绿地与开敞空间用地18.8961公顷，占比24.33%，拟实现公园绿地功能；交通设施用地12.7092公顷，占比16.37%，拟实现道路交通功能；住宅用地1.2814公顷，占比1.65%，拟实现城市住宅功能；公共管理与公共服务用地1.1019公顷，占比1.42%，拟实现邻里中心及加油加气站功能；农林用地0.4191公顷，占比0.54%，拟实现农业生产功能。</w:t>
      </w:r>
    </w:p>
    <w:p w14:paraId="39794B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六、拟建设项目、开发时序和实施计划</w:t>
      </w:r>
    </w:p>
    <w:p w14:paraId="528D43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本方案拟安排项目18个，其中工业生产用途项目5个、公园绿地用途项目7个、交通设施用地用途项目3个、住宅、公服设施建设及农业生产项目各1个。实施年限为2022年</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202</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7</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年。</w:t>
      </w:r>
    </w:p>
    <w:p w14:paraId="2BEEE6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七、公益性用地情况</w:t>
      </w:r>
    </w:p>
    <w:p w14:paraId="259A5C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根据用途分区和建设项目安排，本调整方案成片开发范围内的地块用途主要为工业生产、公园绿地、城市住宅、邻里中心、道路交通功能。其中，公园绿地</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、邻里中心</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和道路交通用地属于公益性用地，公益性用地面积32.7072公顷，占总用地面积比例为42.12%，符合《湖北省土地征收成片开发实施细则（试行）》公益性用地占比一般不低于40%的规定。</w:t>
      </w:r>
    </w:p>
    <w:p w14:paraId="5E6BBA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p>
    <w:p w14:paraId="24D0A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八、结论</w:t>
      </w:r>
    </w:p>
    <w:p w14:paraId="72EAFA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本调整方案符合国民经济和社会发展规划、国土空间规划，已纳入国民经济和社会发展年度计划，符合部、省规定的标准，做到了保护耕地、维护农民合法权益、节约集约用地、保护生态环境，能够促进经济社会可持续发展。</w:t>
      </w:r>
    </w:p>
    <w:p w14:paraId="386B1A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000000" w:themeColor="text1"/>
          <w:sz w:val="32"/>
          <w:szCs w:val="32"/>
          <w:lang w:val="en-US" w:eastAsia="zh-CN"/>
          <w14:textFill>
            <w14:solidFill>
              <w14:schemeClr w14:val="tx1"/>
            </w14:solidFill>
          </w14:textFill>
        </w:rPr>
      </w:pPr>
    </w:p>
    <w:p w14:paraId="6A7E4D79">
      <w:pPr>
        <w:keepNext w:val="0"/>
        <w:keepLines w:val="0"/>
        <w:pageBreakBefore w:val="0"/>
        <w:widowControl w:val="0"/>
        <w:tabs>
          <w:tab w:val="left" w:pos="1270"/>
        </w:tabs>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附图：土地征收成片开发位置示意图</w:t>
      </w:r>
    </w:p>
    <w:p w14:paraId="1365BB7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lang w:eastAsia="zh-CN"/>
        </w:rPr>
      </w:pPr>
      <w:r>
        <w:rPr>
          <w:rFonts w:hint="default"/>
          <w:lang w:eastAsia="zh-CN"/>
        </w:rPr>
        <w:drawing>
          <wp:inline distT="0" distB="0" distL="114300" distR="114300">
            <wp:extent cx="5243195" cy="3709670"/>
            <wp:effectExtent l="0" t="0" r="14605" b="5080"/>
            <wp:docPr id="1" name="图片 1" descr="位置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位置图"/>
                    <pic:cNvPicPr>
                      <a:picLocks noChangeAspect="1"/>
                    </pic:cNvPicPr>
                  </pic:nvPicPr>
                  <pic:blipFill>
                    <a:blip r:embed="rId4"/>
                    <a:stretch>
                      <a:fillRect/>
                    </a:stretch>
                  </pic:blipFill>
                  <pic:spPr>
                    <a:xfrm>
                      <a:off x="0" y="0"/>
                      <a:ext cx="5243195" cy="370967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A704D1-C3E5-4A99-8E01-7DD616C8A0D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D58BA344-D3DB-48AC-9A71-3D88F02A02BF}"/>
  </w:font>
  <w:font w:name="仿宋">
    <w:panose1 w:val="02010609060101010101"/>
    <w:charset w:val="86"/>
    <w:family w:val="modern"/>
    <w:pitch w:val="default"/>
    <w:sig w:usb0="800002BF" w:usb1="38CF7CFA" w:usb2="00000016" w:usb3="00000000" w:csb0="00040001" w:csb1="00000000"/>
    <w:embedRegular r:id="rId3" w:fontKey="{15357C8D-B79E-45F4-970C-F18C696B2FD8}"/>
  </w:font>
  <w:font w:name="仿宋_GB2312">
    <w:panose1 w:val="02010609030101010101"/>
    <w:charset w:val="86"/>
    <w:family w:val="modern"/>
    <w:pitch w:val="default"/>
    <w:sig w:usb0="00000001" w:usb1="080E0000" w:usb2="00000000" w:usb3="00000000" w:csb0="00040000" w:csb1="00000000"/>
    <w:embedRegular r:id="rId4" w:fontKey="{94F67924-A8F6-4632-B85B-4B7386EAFA6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YjE5ZjIwN2M2MTgzZjg3MDZmZmVjNTlkZjQ4Y2YifQ=="/>
  </w:docVars>
  <w:rsids>
    <w:rsidRoot w:val="00000000"/>
    <w:rsid w:val="02742CC0"/>
    <w:rsid w:val="037C01E4"/>
    <w:rsid w:val="04D53E3A"/>
    <w:rsid w:val="07E92930"/>
    <w:rsid w:val="08302360"/>
    <w:rsid w:val="08E577BA"/>
    <w:rsid w:val="0BE36304"/>
    <w:rsid w:val="0C4B6B2D"/>
    <w:rsid w:val="0D4E5C9B"/>
    <w:rsid w:val="0E0E5886"/>
    <w:rsid w:val="0ECB2E9C"/>
    <w:rsid w:val="118D4D9C"/>
    <w:rsid w:val="146934C8"/>
    <w:rsid w:val="1473214A"/>
    <w:rsid w:val="14CC0DEB"/>
    <w:rsid w:val="16DA5D65"/>
    <w:rsid w:val="17CE1428"/>
    <w:rsid w:val="18983784"/>
    <w:rsid w:val="18A54D46"/>
    <w:rsid w:val="1948000B"/>
    <w:rsid w:val="1A710645"/>
    <w:rsid w:val="1A776935"/>
    <w:rsid w:val="1AA22490"/>
    <w:rsid w:val="1D600C1A"/>
    <w:rsid w:val="215A5F51"/>
    <w:rsid w:val="21A730FA"/>
    <w:rsid w:val="25331CC9"/>
    <w:rsid w:val="26611D8E"/>
    <w:rsid w:val="297E0CFF"/>
    <w:rsid w:val="2B8D4243"/>
    <w:rsid w:val="2D8D6733"/>
    <w:rsid w:val="2E76548A"/>
    <w:rsid w:val="301F0F8E"/>
    <w:rsid w:val="304633B6"/>
    <w:rsid w:val="327C339E"/>
    <w:rsid w:val="340C0094"/>
    <w:rsid w:val="3659703F"/>
    <w:rsid w:val="3AEA3807"/>
    <w:rsid w:val="3AF40615"/>
    <w:rsid w:val="42EF105C"/>
    <w:rsid w:val="43DD341A"/>
    <w:rsid w:val="44C45E7B"/>
    <w:rsid w:val="44E24503"/>
    <w:rsid w:val="47C05D76"/>
    <w:rsid w:val="484F2F6E"/>
    <w:rsid w:val="4C05080B"/>
    <w:rsid w:val="4DED53B3"/>
    <w:rsid w:val="4F4D6971"/>
    <w:rsid w:val="52BA1A28"/>
    <w:rsid w:val="534916E6"/>
    <w:rsid w:val="53A57632"/>
    <w:rsid w:val="558172F9"/>
    <w:rsid w:val="575D6863"/>
    <w:rsid w:val="57665772"/>
    <w:rsid w:val="62FC7815"/>
    <w:rsid w:val="64C37E68"/>
    <w:rsid w:val="65067B4F"/>
    <w:rsid w:val="68AD1EF3"/>
    <w:rsid w:val="6B7B3E9B"/>
    <w:rsid w:val="70A704A9"/>
    <w:rsid w:val="71163F22"/>
    <w:rsid w:val="74257203"/>
    <w:rsid w:val="74DD1BAF"/>
    <w:rsid w:val="7AB636E5"/>
    <w:rsid w:val="7CF94F74"/>
    <w:rsid w:val="7D6501C1"/>
    <w:rsid w:val="FD6F9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0"/>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2126</Words>
  <Characters>2249</Characters>
  <Lines>0</Lines>
  <Paragraphs>0</Paragraphs>
  <TotalTime>2</TotalTime>
  <ScaleCrop>false</ScaleCrop>
  <LinksUpToDate>false</LinksUpToDate>
  <CharactersWithSpaces>2249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2021-04-27T17:38:00Z</dcterms:created>
  <dc:creator>PC</dc:creator>
  <cp:lastModifiedBy>雅斯</cp:lastModifiedBy>
  <dcterms:modified xsi:type="dcterms:W3CDTF">2025-11-11T03:41:37Z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7CEEAA8061DC4FC0AC70990B78C3E116_13</vt:lpwstr>
  </property>
</Properties>
</file>