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300" w:right="300"/>
        <w:jc w:val="center"/>
        <w:rPr>
          <w:rFonts w:hint="eastAsia" w:ascii="黑体" w:hAnsi="黑体" w:eastAsia="黑体" w:cs="黑体"/>
          <w:b w:val="0"/>
          <w:bCs/>
          <w:color w:val="auto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</w:rPr>
        <w:t>车辆购置税退税</w:t>
      </w:r>
    </w:p>
    <w:bookmarkEnd w:id="0"/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访问路径</w:t>
      </w:r>
    </w:p>
    <w:p>
      <w:pPr>
        <w:ind w:firstLine="558" w:firstLineChars="186"/>
        <w:rPr>
          <w:color w:val="auto"/>
        </w:rPr>
      </w:pPr>
      <w:r>
        <w:rPr>
          <w:rFonts w:hint="eastAsia"/>
          <w:color w:val="auto"/>
        </w:rPr>
        <w:t>纳税人登录后，点击我要办税--一般退（抵）税管理--车辆购置税退税。</w:t>
      </w:r>
    </w:p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操作流程</w:t>
      </w:r>
    </w:p>
    <w:p>
      <w:pPr>
        <w:ind w:firstLine="450" w:firstLineChars="150"/>
        <w:rPr>
          <w:color w:val="auto"/>
        </w:rPr>
      </w:pPr>
      <w:r>
        <w:rPr>
          <w:rFonts w:hint="eastAsia"/>
          <w:color w:val="auto"/>
        </w:rPr>
        <w:t>1.输入车辆识别代码，点击搜索</w:t>
      </w:r>
    </w:p>
    <w:p>
      <w:pPr>
        <w:ind w:firstLine="450" w:firstLineChars="15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2880" cy="2067560"/>
            <wp:effectExtent l="0" t="0" r="13970" b="8890"/>
            <wp:docPr id="14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color w:val="auto"/>
        </w:rPr>
      </w:pPr>
      <w:r>
        <w:rPr>
          <w:rFonts w:hint="eastAsia"/>
          <w:color w:val="auto"/>
        </w:rPr>
        <w:t>2.填写退税原因，提交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2AC"/>
    <w:rsid w:val="04006BE4"/>
    <w:rsid w:val="3EE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/>
      <w:b/>
      <w:sz w:val="32"/>
    </w:rPr>
  </w:style>
  <w:style w:type="paragraph" w:styleId="3">
    <w:name w:val="heading 3"/>
    <w:basedOn w:val="1"/>
    <w:next w:val="1"/>
    <w:qFormat/>
    <w:uiPriority w:val="9"/>
    <w:pPr>
      <w:keepNext/>
      <w:keepLines/>
      <w:ind w:left="100" w:leftChars="100" w:right="100" w:rightChars="100"/>
      <w:jc w:val="left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2021-07-05T07:09:37Z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