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NewRomanPS-BoldMT" w:hAnsi="TimesNewRomanPS-BoldMT" w:eastAsia="TimesNewRomanPS-BoldMT"/>
          <w:b/>
          <w:sz w:val="24"/>
          <w:szCs w:val="24"/>
        </w:rPr>
      </w:pPr>
      <w:r>
        <w:rPr>
          <w:rFonts w:ascii="TimesNewRomanPS-BoldMT" w:hAnsi="TimesNewRomanPS-BoldMT" w:eastAsia="TimesNewRomanPS-BoldMT"/>
          <w:b/>
          <w:sz w:val="24"/>
          <w:szCs w:val="24"/>
        </w:rPr>
        <w:t>3.11.1—091</w:t>
      </w:r>
      <w:r>
        <w:rPr>
          <w:rFonts w:hint="eastAsia" w:ascii="TimesNewRomanPS-BoldMT" w:hAnsi="TimesNewRomanPS-BoldMT" w:eastAsia="TimesNewRomanPS-BoldMT"/>
          <w:b/>
          <w:sz w:val="24"/>
          <w:szCs w:val="24"/>
        </w:rPr>
        <w:t xml:space="preserve"> </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契税申报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【您要办的业务名称】</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您需要办理的业务为契税申报。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【您在什么情况下需要办理此业务】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在中华人民共和国境内转移土地、房屋权属，承受的单位和个人填报《契税纳税申报表》及相关资料，应向土地、房屋所在税务机关办理契税申报。</w:t>
      </w:r>
    </w:p>
    <w:p>
      <w:pPr>
        <w:spacing w:line="440" w:lineRule="exact"/>
        <w:ind w:firstLine="560" w:firstLineChars="200"/>
        <w:jc w:val="left"/>
        <w:rPr>
          <w:rFonts w:ascii="仿宋_GB2312" w:hAnsi="仿宋_GB2312" w:eastAsia="仿宋_GB2312" w:cs="仿宋_GB2312"/>
          <w:sz w:val="28"/>
          <w:szCs w:val="28"/>
        </w:rPr>
      </w:pPr>
      <w:r>
        <w:rPr>
          <w:rFonts w:hint="eastAsia" w:ascii="黑体" w:hAnsi="黑体" w:eastAsia="黑体"/>
          <w:sz w:val="28"/>
          <w:szCs w:val="28"/>
        </w:rPr>
        <w:drawing>
          <wp:anchor distT="0" distB="0" distL="114300" distR="114300" simplePos="0" relativeHeight="251658240" behindDoc="0" locked="0" layoutInCell="1" allowOverlap="1">
            <wp:simplePos x="0" y="0"/>
            <wp:positionH relativeFrom="column">
              <wp:posOffset>295275</wp:posOffset>
            </wp:positionH>
            <wp:positionV relativeFrom="paragraph">
              <wp:posOffset>379095</wp:posOffset>
            </wp:positionV>
            <wp:extent cx="5019675" cy="4672965"/>
            <wp:effectExtent l="19050" t="0" r="9525" b="0"/>
            <wp:wrapTopAndBottom/>
            <wp:docPr id="1" name="图片 1" descr="C:\Users\Administrator\Desktop\RTX截图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RTX截图未命名.png"/>
                    <pic:cNvPicPr>
                      <a:picLocks noChangeAspect="1" noChangeArrowheads="1"/>
                    </pic:cNvPicPr>
                  </pic:nvPicPr>
                  <pic:blipFill>
                    <a:blip r:embed="rId4" cstate="print"/>
                    <a:srcRect/>
                    <a:stretch>
                      <a:fillRect/>
                    </a:stretch>
                  </pic:blipFill>
                  <pic:spPr>
                    <a:xfrm>
                      <a:off x="0" y="0"/>
                      <a:ext cx="5019675" cy="4672965"/>
                    </a:xfrm>
                    <a:prstGeom prst="rect">
                      <a:avLst/>
                    </a:prstGeom>
                    <a:noFill/>
                    <a:ln w="9525">
                      <a:noFill/>
                      <a:miter lim="800000"/>
                      <a:headEnd/>
                      <a:tailEnd/>
                    </a:ln>
                  </pic:spPr>
                </pic:pic>
              </a:graphicData>
            </a:graphic>
          </wp:anchor>
        </w:drawing>
      </w:r>
      <w:r>
        <w:rPr>
          <w:rFonts w:hint="eastAsia" w:ascii="黑体" w:hAnsi="黑体" w:eastAsia="黑体"/>
          <w:sz w:val="28"/>
          <w:szCs w:val="28"/>
        </w:rPr>
        <w:t>【您需要提供什么材料】</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【您可以通过哪些途径办理此业务】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您可以采取线上线下两种途径办理此业务。</w:t>
      </w:r>
    </w:p>
    <w:p>
      <w:pPr>
        <w:spacing w:line="440" w:lineRule="exact"/>
        <w:ind w:firstLine="560" w:firstLineChars="200"/>
        <w:jc w:val="left"/>
        <w:rPr>
          <w:rFonts w:ascii="宋体" w:hAnsi="宋体"/>
          <w:sz w:val="28"/>
          <w:szCs w:val="28"/>
        </w:rPr>
      </w:pPr>
      <w:r>
        <w:rPr>
          <w:rFonts w:hint="eastAsia" w:ascii="仿宋_GB2312" w:hAnsi="仿宋_GB2312" w:eastAsia="仿宋_GB2312" w:cs="仿宋_GB2312"/>
          <w:sz w:val="28"/>
          <w:szCs w:val="28"/>
        </w:rPr>
        <w:t>为了您更加安全、便捷、高效办理业务，建议您采取线上办理。办理途径为：登陆国家税务总局湖北省电子税务局：</w:t>
      </w:r>
      <w:r>
        <w:rPr>
          <w:rFonts w:hint="eastAsia" w:asciiTheme="minorEastAsia" w:hAnsiTheme="minorEastAsia"/>
          <w:sz w:val="28"/>
          <w:szCs w:val="28"/>
        </w:rPr>
        <w:t>【首页】---&gt;【办税中心】---&gt;【税费申报及缴纳】---&gt;【其他申报】---&gt;【财产和行为税合并纳税申报】</w:t>
      </w:r>
      <w:r>
        <w:rPr>
          <w:rFonts w:hint="eastAsia" w:ascii="仿宋_GB2312" w:hAnsi="仿宋_GB2312" w:eastAsia="仿宋_GB2312" w:cs="仿宋_GB2312"/>
          <w:sz w:val="28"/>
          <w:szCs w:val="28"/>
        </w:rPr>
        <w:t>功能模块</w:t>
      </w:r>
      <w:r>
        <w:rPr>
          <w:rFonts w:hint="eastAsia" w:ascii="宋体" w:hAnsi="宋体"/>
          <w:sz w:val="28"/>
          <w:szCs w:val="28"/>
        </w:rPr>
        <w:t>。</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您还可以前往汉阳区办税服务厅办理，地址为：汉阳区政务服务中心二楼（武汉市汉阳区四新北路125号）</w:t>
      </w:r>
    </w:p>
    <w:p>
      <w:pPr>
        <w:spacing w:line="440" w:lineRule="exact"/>
        <w:ind w:firstLine="560" w:firstLineChars="200"/>
        <w:jc w:val="left"/>
        <w:rPr>
          <w:rFonts w:ascii="MS-Mincho" w:hAnsi="MS-Mincho" w:eastAsia="MS-Mincho"/>
          <w:sz w:val="28"/>
          <w:szCs w:val="28"/>
        </w:rPr>
      </w:pPr>
      <w:r>
        <w:rPr>
          <w:rFonts w:hint="eastAsia" w:ascii="黑体" w:hAnsi="黑体" w:eastAsia="黑体"/>
          <w:sz w:val="28"/>
          <w:szCs w:val="28"/>
        </w:rPr>
        <w:t>【该项业务的办理时限】</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即时办结</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【如您遇到任何疑问，可以通过以下方式联系我们】</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spacing w:line="440" w:lineRule="exact"/>
        <w:ind w:firstLine="560" w:firstLineChars="200"/>
        <w:jc w:val="left"/>
        <w:rPr>
          <w:rFonts w:ascii="黑体" w:hAnsi="黑体" w:eastAsia="黑体"/>
          <w:sz w:val="28"/>
          <w:szCs w:val="28"/>
        </w:rPr>
      </w:pPr>
      <w:bookmarkStart w:id="0" w:name="_GoBack"/>
      <w:bookmarkEnd w:id="0"/>
      <w:r>
        <w:rPr>
          <w:rFonts w:hint="eastAsia" w:ascii="黑体" w:hAnsi="黑体" w:eastAsia="黑体"/>
          <w:sz w:val="28"/>
          <w:szCs w:val="28"/>
        </w:rPr>
        <w:t>【您需要注意什么】</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1.纳税人应当自纳税义务发生之日起 10 日内，向土地、房屋所在地的契税征收机办理纳税申报，并在契税征收机关核定的期限内缴纳税款。</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rPr>
        <w:t xml:space="preserve"> </w:t>
      </w:r>
      <w:r>
        <w:rPr>
          <w:rFonts w:hint="eastAsia" w:ascii="仿宋_GB2312" w:hAnsi="仿宋_GB2312" w:eastAsia="仿宋_GB2312" w:cs="仿宋_GB2312"/>
          <w:sz w:val="28"/>
          <w:szCs w:val="28"/>
        </w:rPr>
        <w:t>购买新建商品房的纳税人，因销售新建商品房的房地产开发企业已办理注销税务登记或者被税务机关列为非正常户等原因不能取得销售不动产发票的，可在税务机关核实有关情况后办理契税纳税申报。</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3889"/>
    <w:rsid w:val="00172A27"/>
    <w:rsid w:val="003652B8"/>
    <w:rsid w:val="003F5109"/>
    <w:rsid w:val="00551430"/>
    <w:rsid w:val="00705A8F"/>
    <w:rsid w:val="007602B6"/>
    <w:rsid w:val="007827A5"/>
    <w:rsid w:val="00796490"/>
    <w:rsid w:val="0084124E"/>
    <w:rsid w:val="008A32B0"/>
    <w:rsid w:val="008E75F2"/>
    <w:rsid w:val="00916A58"/>
    <w:rsid w:val="00964547"/>
    <w:rsid w:val="00BE74F9"/>
    <w:rsid w:val="00C952E7"/>
    <w:rsid w:val="00D36BCB"/>
    <w:rsid w:val="00D73F5B"/>
    <w:rsid w:val="00E5328A"/>
    <w:rsid w:val="00ED3CCE"/>
    <w:rsid w:val="00F052F8"/>
    <w:rsid w:val="00FE485B"/>
    <w:rsid w:val="42DC7289"/>
    <w:rsid w:val="47B92C69"/>
    <w:rsid w:val="74493336"/>
    <w:rsid w:val="7AC4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92</Words>
  <Characters>528</Characters>
  <Lines>4</Lines>
  <Paragraphs>1</Paragraphs>
  <TotalTime>0</TotalTime>
  <ScaleCrop>false</ScaleCrop>
  <LinksUpToDate>false</LinksUpToDate>
  <CharactersWithSpaces>619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2023-02-21T03:14:31Z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