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TimesNewRomanPS-BoldMT" w:hAnsi="TimesNewRomanPS-BoldMT" w:eastAsia="TimesNewRomanPS-BoldMT"/>
          <w:b/>
          <w:sz w:val="24"/>
          <w:szCs w:val="24"/>
        </w:rPr>
      </w:pPr>
      <w:r>
        <w:rPr>
          <w:rFonts w:hint="eastAsia" w:ascii="TimesNewRomanPS-BoldMT" w:hAnsi="TimesNewRomanPS-BoldMT" w:eastAsia="TimesNewRomanPS-BoldMT"/>
          <w:b/>
          <w:sz w:val="24"/>
          <w:szCs w:val="24"/>
        </w:rPr>
        <w:t>3.</w:t>
      </w:r>
      <w:r>
        <w:rPr>
          <w:rFonts w:hint="eastAsia" w:ascii="TimesNewRomanPS-BoldMT" w:hAnsi="TimesNewRomanPS-BoldMT" w:eastAsia="TimesNewRomanPS-BoldMT"/>
          <w:b/>
          <w:sz w:val="24"/>
          <w:szCs w:val="24"/>
          <w:lang w:val="en-US" w:eastAsia="zh-CN"/>
        </w:rPr>
        <w:t>3</w:t>
      </w:r>
      <w:r>
        <w:rPr>
          <w:rFonts w:hint="eastAsia" w:ascii="TimesNewRomanPS-BoldMT" w:hAnsi="TimesNewRomanPS-BoldMT" w:eastAsia="TimesNewRomanPS-BoldMT"/>
          <w:b/>
          <w:sz w:val="24"/>
          <w:szCs w:val="24"/>
        </w:rPr>
        <w:t>.</w:t>
      </w:r>
      <w:r>
        <w:rPr>
          <w:rFonts w:hint="eastAsia" w:ascii="TimesNewRomanPS-BoldMT" w:hAnsi="TimesNewRomanPS-BoldMT" w:eastAsia="TimesNewRomanPS-BoldMT"/>
          <w:b/>
          <w:sz w:val="24"/>
          <w:szCs w:val="24"/>
          <w:lang w:val="en-US" w:eastAsia="zh-CN"/>
        </w:rPr>
        <w:t>1</w:t>
      </w:r>
      <w:r>
        <w:rPr>
          <w:rFonts w:hint="eastAsia" w:ascii="TimesNewRomanPS-BoldMT" w:hAnsi="TimesNewRomanPS-BoldMT" w:eastAsia="TimesNewRomanPS-BoldMT"/>
          <w:b/>
          <w:sz w:val="24"/>
          <w:szCs w:val="24"/>
        </w:rPr>
        <w:t>—0</w:t>
      </w:r>
      <w:r>
        <w:rPr>
          <w:rFonts w:hint="eastAsia" w:ascii="TimesNewRomanPS-BoldMT" w:hAnsi="TimesNewRomanPS-BoldMT" w:eastAsia="TimesNewRomanPS-BoldMT"/>
          <w:b/>
          <w:sz w:val="24"/>
          <w:szCs w:val="24"/>
          <w:lang w:val="en-US" w:eastAsia="zh-CN"/>
        </w:rPr>
        <w:t>70</w:t>
      </w:r>
      <w:r>
        <w:rPr>
          <w:rFonts w:hint="eastAsia" w:ascii="TimesNewRomanPS-BoldMT" w:hAnsi="TimesNewRomanPS-BoldMT" w:eastAsia="TimesNewRomanPS-BoldMT"/>
          <w:b/>
          <w:sz w:val="24"/>
          <w:szCs w:val="24"/>
        </w:rPr>
        <w:t xml:space="preserve"> </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车辆购置税申报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您需要办理的业务为车辆购置税申报。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在中华人民共和国境内购置汽车、有轨电车、汽车挂车、排气量超过一百五十毫升的摩托车(以下统称应税车辆)的单位和个人，为车辆购置税的纳税人，自纳税义务发生之日起六十日内办理车辆购置税申报。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所称购置，是指以购买、进口、自产、受赠、获奖或者其他方式取得并自用应税车辆的行为。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车辆购置税实行一次性征收。购置已征车辆购置税的车辆，不再征收车辆购置税。车辆购置税实行一车一申报制度。</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tbl>
      <w:tblPr>
        <w:tblStyle w:val="4"/>
        <w:tblW w:w="8164"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4536"/>
        <w:gridCol w:w="68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80" w:type="dxa"/>
            <w:shd w:val="clear" w:color="auto" w:fill="D9D9D9"/>
          </w:tcPr>
          <w:p>
            <w:pPr>
              <w:pStyle w:val="21"/>
              <w:rPr>
                <w:rFonts w:ascii="黑体"/>
                <w:sz w:val="19"/>
              </w:rPr>
            </w:pPr>
          </w:p>
          <w:p>
            <w:pPr>
              <w:pStyle w:val="21"/>
              <w:ind w:left="96" w:right="88"/>
              <w:jc w:val="center"/>
              <w:rPr>
                <w:rFonts w:hint="eastAsia" w:ascii="黑体" w:eastAsia="黑体"/>
                <w:sz w:val="21"/>
              </w:rPr>
            </w:pPr>
            <w:r>
              <w:rPr>
                <w:rFonts w:hint="eastAsia" w:ascii="黑体" w:eastAsia="黑体"/>
                <w:w w:val="95"/>
                <w:sz w:val="21"/>
              </w:rPr>
              <w:t>序号</w:t>
            </w:r>
          </w:p>
        </w:tc>
        <w:tc>
          <w:tcPr>
            <w:tcW w:w="4536" w:type="dxa"/>
            <w:shd w:val="clear" w:color="auto" w:fill="D9D9D9"/>
          </w:tcPr>
          <w:p>
            <w:pPr>
              <w:pStyle w:val="21"/>
              <w:rPr>
                <w:rFonts w:ascii="黑体"/>
                <w:sz w:val="19"/>
              </w:rPr>
            </w:pPr>
          </w:p>
          <w:p>
            <w:pPr>
              <w:pStyle w:val="21"/>
              <w:ind w:left="7"/>
              <w:jc w:val="center"/>
              <w:rPr>
                <w:rFonts w:hint="eastAsia" w:ascii="黑体" w:eastAsia="黑体"/>
                <w:sz w:val="21"/>
              </w:rPr>
            </w:pPr>
            <w:r>
              <w:rPr>
                <w:rFonts w:hint="eastAsia" w:ascii="黑体" w:eastAsia="黑体"/>
                <w:w w:val="95"/>
                <w:sz w:val="21"/>
              </w:rPr>
              <w:t>材料名称</w:t>
            </w:r>
          </w:p>
        </w:tc>
        <w:tc>
          <w:tcPr>
            <w:tcW w:w="680" w:type="dxa"/>
            <w:shd w:val="clear" w:color="auto" w:fill="D9D9D9"/>
          </w:tcPr>
          <w:p>
            <w:pPr>
              <w:pStyle w:val="21"/>
              <w:rPr>
                <w:rFonts w:ascii="黑体"/>
                <w:sz w:val="19"/>
              </w:rPr>
            </w:pPr>
          </w:p>
          <w:p>
            <w:pPr>
              <w:pStyle w:val="21"/>
              <w:ind w:left="129"/>
              <w:rPr>
                <w:rFonts w:hint="eastAsia" w:ascii="黑体" w:eastAsia="黑体"/>
                <w:sz w:val="21"/>
              </w:rPr>
            </w:pPr>
            <w:r>
              <w:rPr>
                <w:rFonts w:hint="eastAsia" w:ascii="黑体" w:eastAsia="黑体"/>
                <w:w w:val="95"/>
                <w:sz w:val="21"/>
              </w:rPr>
              <w:t>数量</w:t>
            </w:r>
          </w:p>
        </w:tc>
        <w:tc>
          <w:tcPr>
            <w:tcW w:w="2268" w:type="dxa"/>
            <w:shd w:val="clear" w:color="auto" w:fill="D9D9D9"/>
          </w:tcPr>
          <w:p>
            <w:pPr>
              <w:pStyle w:val="21"/>
              <w:rPr>
                <w:rFonts w:ascii="黑体"/>
                <w:sz w:val="19"/>
              </w:rPr>
            </w:pPr>
          </w:p>
          <w:p>
            <w:pPr>
              <w:pStyle w:val="21"/>
              <w:ind w:left="137" w:right="131"/>
              <w:jc w:val="center"/>
              <w:rPr>
                <w:rFonts w:hint="eastAsia" w:ascii="黑体" w:eastAsia="黑体"/>
                <w:sz w:val="21"/>
              </w:rPr>
            </w:pPr>
            <w:r>
              <w:rPr>
                <w:rFonts w:hint="eastAsia" w:ascii="黑体" w:eastAsia="黑体"/>
                <w:w w:val="95"/>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80" w:type="dxa"/>
          </w:tcPr>
          <w:p>
            <w:pPr>
              <w:pStyle w:val="21"/>
              <w:spacing w:before="1"/>
              <w:rPr>
                <w:rFonts w:ascii="黑体"/>
                <w:sz w:val="24"/>
              </w:rPr>
            </w:pPr>
          </w:p>
          <w:p>
            <w:pPr>
              <w:pStyle w:val="21"/>
              <w:ind w:left="7"/>
              <w:jc w:val="center"/>
              <w:rPr>
                <w:rFonts w:ascii="Times New Roman"/>
                <w:sz w:val="18"/>
              </w:rPr>
            </w:pPr>
            <w:r>
              <w:rPr>
                <w:rFonts w:ascii="Times New Roman"/>
                <w:sz w:val="18"/>
              </w:rPr>
              <w:t>1</w:t>
            </w:r>
          </w:p>
        </w:tc>
        <w:tc>
          <w:tcPr>
            <w:tcW w:w="4536" w:type="dxa"/>
          </w:tcPr>
          <w:p>
            <w:pPr>
              <w:pStyle w:val="21"/>
              <w:rPr>
                <w:rFonts w:ascii="黑体"/>
                <w:sz w:val="21"/>
              </w:rPr>
            </w:pPr>
          </w:p>
          <w:p>
            <w:pPr>
              <w:pStyle w:val="21"/>
              <w:ind w:left="9"/>
              <w:jc w:val="center"/>
              <w:rPr>
                <w:rFonts w:hint="eastAsia" w:ascii="黑体" w:eastAsia="黑体"/>
                <w:sz w:val="18"/>
              </w:rPr>
            </w:pPr>
            <w:r>
              <w:rPr>
                <w:rFonts w:hint="eastAsia" w:ascii="黑体" w:eastAsia="黑体"/>
                <w:sz w:val="18"/>
              </w:rPr>
              <w:t>《车辆购置税纳税申报表》</w:t>
            </w:r>
          </w:p>
        </w:tc>
        <w:tc>
          <w:tcPr>
            <w:tcW w:w="680" w:type="dxa"/>
          </w:tcPr>
          <w:p>
            <w:pPr>
              <w:pStyle w:val="21"/>
              <w:rPr>
                <w:rFonts w:ascii="黑体"/>
                <w:sz w:val="21"/>
              </w:rPr>
            </w:pPr>
          </w:p>
          <w:p>
            <w:pPr>
              <w:pStyle w:val="21"/>
              <w:ind w:left="182"/>
              <w:rPr>
                <w:rFonts w:hint="eastAsia" w:ascii="黑体" w:eastAsia="黑体"/>
                <w:sz w:val="18"/>
              </w:rPr>
            </w:pPr>
            <w:r>
              <w:rPr>
                <w:rFonts w:ascii="Times New Roman" w:eastAsia="Times New Roman"/>
                <w:sz w:val="18"/>
              </w:rPr>
              <w:t xml:space="preserve">2 </w:t>
            </w:r>
            <w:r>
              <w:rPr>
                <w:rFonts w:hint="eastAsia" w:ascii="黑体" w:eastAsia="黑体"/>
                <w:sz w:val="18"/>
              </w:rPr>
              <w:t>份</w:t>
            </w:r>
          </w:p>
        </w:tc>
        <w:tc>
          <w:tcPr>
            <w:tcW w:w="2268"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80" w:type="dxa"/>
          </w:tcPr>
          <w:p>
            <w:pPr>
              <w:pStyle w:val="21"/>
              <w:spacing w:before="2"/>
              <w:rPr>
                <w:rFonts w:ascii="黑体"/>
                <w:sz w:val="24"/>
              </w:rPr>
            </w:pPr>
          </w:p>
          <w:p>
            <w:pPr>
              <w:pStyle w:val="21"/>
              <w:ind w:left="7"/>
              <w:jc w:val="center"/>
              <w:rPr>
                <w:rFonts w:ascii="Times New Roman"/>
                <w:sz w:val="18"/>
              </w:rPr>
            </w:pPr>
            <w:r>
              <w:rPr>
                <w:rFonts w:ascii="Times New Roman"/>
                <w:sz w:val="18"/>
              </w:rPr>
              <w:t>2</w:t>
            </w:r>
          </w:p>
        </w:tc>
        <w:tc>
          <w:tcPr>
            <w:tcW w:w="4536" w:type="dxa"/>
          </w:tcPr>
          <w:p>
            <w:pPr>
              <w:pStyle w:val="21"/>
              <w:spacing w:before="12"/>
              <w:rPr>
                <w:rFonts w:ascii="黑体"/>
                <w:sz w:val="20"/>
              </w:rPr>
            </w:pPr>
          </w:p>
          <w:p>
            <w:pPr>
              <w:pStyle w:val="21"/>
              <w:ind w:left="9"/>
              <w:jc w:val="center"/>
              <w:rPr>
                <w:rFonts w:hint="eastAsia" w:ascii="黑体" w:eastAsia="黑体"/>
                <w:sz w:val="18"/>
              </w:rPr>
            </w:pPr>
            <w:r>
              <w:rPr>
                <w:rFonts w:hint="eastAsia" w:ascii="黑体" w:eastAsia="黑体"/>
                <w:sz w:val="18"/>
              </w:rPr>
              <w:t>整车出厂合格证或者《车辆电子信息单》</w:t>
            </w:r>
          </w:p>
        </w:tc>
        <w:tc>
          <w:tcPr>
            <w:tcW w:w="680" w:type="dxa"/>
          </w:tcPr>
          <w:p>
            <w:pPr>
              <w:pStyle w:val="21"/>
              <w:spacing w:before="12"/>
              <w:rPr>
                <w:rFonts w:ascii="黑体"/>
                <w:sz w:val="20"/>
              </w:rPr>
            </w:pPr>
          </w:p>
          <w:p>
            <w:pPr>
              <w:pStyle w:val="21"/>
              <w:ind w:left="182"/>
              <w:rPr>
                <w:rFonts w:hint="eastAsia" w:ascii="黑体" w:eastAsia="黑体"/>
                <w:sz w:val="18"/>
              </w:rPr>
            </w:pPr>
            <w:r>
              <w:rPr>
                <w:rFonts w:ascii="Times New Roman" w:eastAsia="Times New Roman"/>
                <w:sz w:val="18"/>
              </w:rPr>
              <w:t xml:space="preserve">1 </w:t>
            </w:r>
            <w:r>
              <w:rPr>
                <w:rFonts w:hint="eastAsia" w:ascii="黑体" w:eastAsia="黑体"/>
                <w:sz w:val="18"/>
              </w:rPr>
              <w:t>份</w:t>
            </w:r>
          </w:p>
        </w:tc>
        <w:tc>
          <w:tcPr>
            <w:tcW w:w="2268" w:type="dxa"/>
          </w:tcPr>
          <w:p>
            <w:pPr>
              <w:pStyle w:val="21"/>
              <w:rPr>
                <w:rFonts w:ascii="Times New Roman"/>
                <w:sz w:val="22"/>
              </w:rPr>
            </w:pPr>
          </w:p>
        </w:tc>
      </w:tr>
    </w:tbl>
    <w:p>
      <w:pPr>
        <w:spacing w:after="0"/>
        <w:rPr>
          <w:rFonts w:ascii="Times New Roman"/>
          <w:sz w:val="22"/>
        </w:rPr>
        <w:sectPr>
          <w:footerReference r:id="rId3" w:type="default"/>
          <w:pgSz w:w="11910" w:h="16840"/>
          <w:pgMar w:top="1460" w:right="1680" w:bottom="1280" w:left="1680" w:header="0" w:footer="1081" w:gutter="0"/>
          <w:pgNumType w:start="200"/>
        </w:sectPr>
      </w:pPr>
    </w:p>
    <w:tbl>
      <w:tblPr>
        <w:tblStyle w:val="4"/>
        <w:tblW w:w="8164" w:type="dxa"/>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1878"/>
        <w:gridCol w:w="2658"/>
        <w:gridCol w:w="68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680" w:type="dxa"/>
          </w:tcPr>
          <w:p>
            <w:pPr>
              <w:pStyle w:val="21"/>
              <w:rPr>
                <w:rFonts w:ascii="黑体"/>
                <w:sz w:val="20"/>
              </w:rPr>
            </w:pPr>
          </w:p>
          <w:p>
            <w:pPr>
              <w:pStyle w:val="21"/>
              <w:rPr>
                <w:rFonts w:ascii="黑体"/>
                <w:sz w:val="20"/>
              </w:rPr>
            </w:pPr>
          </w:p>
          <w:p>
            <w:pPr>
              <w:pStyle w:val="21"/>
              <w:rPr>
                <w:rFonts w:ascii="黑体"/>
                <w:sz w:val="20"/>
              </w:rPr>
            </w:pPr>
          </w:p>
          <w:p>
            <w:pPr>
              <w:pStyle w:val="21"/>
              <w:spacing w:before="7"/>
              <w:rPr>
                <w:rFonts w:ascii="黑体"/>
                <w:sz w:val="29"/>
              </w:rPr>
            </w:pPr>
          </w:p>
          <w:p>
            <w:pPr>
              <w:pStyle w:val="21"/>
              <w:ind w:left="7"/>
              <w:jc w:val="center"/>
              <w:rPr>
                <w:rFonts w:ascii="Times New Roman"/>
                <w:sz w:val="18"/>
              </w:rPr>
            </w:pPr>
            <w:r>
              <w:rPr>
                <w:rFonts w:ascii="Times New Roman"/>
                <w:sz w:val="18"/>
              </w:rPr>
              <w:t>3</w:t>
            </w:r>
          </w:p>
        </w:tc>
        <w:tc>
          <w:tcPr>
            <w:tcW w:w="4536" w:type="dxa"/>
            <w:gridSpan w:val="2"/>
          </w:tcPr>
          <w:p>
            <w:pPr>
              <w:pStyle w:val="21"/>
              <w:rPr>
                <w:rFonts w:ascii="黑体"/>
                <w:sz w:val="18"/>
              </w:rPr>
            </w:pPr>
          </w:p>
          <w:p>
            <w:pPr>
              <w:pStyle w:val="21"/>
              <w:rPr>
                <w:rFonts w:ascii="黑体"/>
                <w:sz w:val="18"/>
              </w:rPr>
            </w:pPr>
          </w:p>
          <w:p>
            <w:pPr>
              <w:pStyle w:val="21"/>
              <w:rPr>
                <w:rFonts w:ascii="黑体"/>
                <w:sz w:val="18"/>
              </w:rPr>
            </w:pPr>
          </w:p>
          <w:p>
            <w:pPr>
              <w:pStyle w:val="21"/>
              <w:rPr>
                <w:rFonts w:ascii="黑体"/>
                <w:sz w:val="18"/>
              </w:rPr>
            </w:pPr>
          </w:p>
          <w:p>
            <w:pPr>
              <w:pStyle w:val="21"/>
              <w:spacing w:before="4"/>
              <w:rPr>
                <w:rFonts w:ascii="黑体"/>
                <w:sz w:val="14"/>
              </w:rPr>
            </w:pPr>
          </w:p>
          <w:p>
            <w:pPr>
              <w:pStyle w:val="21"/>
              <w:ind w:left="9"/>
              <w:jc w:val="center"/>
              <w:rPr>
                <w:rFonts w:hint="eastAsia" w:ascii="黑体" w:eastAsia="黑体"/>
                <w:sz w:val="18"/>
              </w:rPr>
            </w:pPr>
            <w:r>
              <w:rPr>
                <w:rFonts w:hint="eastAsia" w:ascii="黑体" w:eastAsia="黑体"/>
                <w:sz w:val="18"/>
              </w:rPr>
              <w:t>车辆相关价格凭证</w:t>
            </w:r>
          </w:p>
        </w:tc>
        <w:tc>
          <w:tcPr>
            <w:tcW w:w="680" w:type="dxa"/>
          </w:tcPr>
          <w:p>
            <w:pPr>
              <w:pStyle w:val="21"/>
              <w:rPr>
                <w:rFonts w:ascii="黑体"/>
                <w:sz w:val="20"/>
              </w:rPr>
            </w:pPr>
          </w:p>
          <w:p>
            <w:pPr>
              <w:pStyle w:val="21"/>
              <w:rPr>
                <w:rFonts w:ascii="黑体"/>
                <w:sz w:val="20"/>
              </w:rPr>
            </w:pPr>
          </w:p>
          <w:p>
            <w:pPr>
              <w:pStyle w:val="21"/>
              <w:rPr>
                <w:rFonts w:ascii="黑体"/>
                <w:sz w:val="20"/>
              </w:rPr>
            </w:pPr>
          </w:p>
          <w:p>
            <w:pPr>
              <w:pStyle w:val="21"/>
              <w:spacing w:before="4"/>
              <w:rPr>
                <w:rFonts w:ascii="黑体"/>
                <w:sz w:val="26"/>
              </w:rPr>
            </w:pPr>
          </w:p>
          <w:p>
            <w:pPr>
              <w:pStyle w:val="21"/>
              <w:ind w:left="182"/>
              <w:rPr>
                <w:rFonts w:hint="eastAsia" w:ascii="黑体" w:eastAsia="黑体"/>
                <w:sz w:val="18"/>
              </w:rPr>
            </w:pPr>
            <w:r>
              <w:rPr>
                <w:rFonts w:ascii="Times New Roman" w:eastAsia="Times New Roman"/>
                <w:sz w:val="18"/>
              </w:rPr>
              <w:t xml:space="preserve">1 </w:t>
            </w:r>
            <w:r>
              <w:rPr>
                <w:rFonts w:hint="eastAsia" w:ascii="黑体" w:eastAsia="黑体"/>
                <w:sz w:val="18"/>
              </w:rPr>
              <w:t>份</w:t>
            </w:r>
          </w:p>
        </w:tc>
        <w:tc>
          <w:tcPr>
            <w:tcW w:w="2268" w:type="dxa"/>
          </w:tcPr>
          <w:p>
            <w:pPr>
              <w:pStyle w:val="21"/>
              <w:spacing w:before="21" w:line="324" w:lineRule="auto"/>
              <w:ind w:left="107" w:right="96" w:firstLine="36"/>
              <w:jc w:val="both"/>
              <w:rPr>
                <w:rFonts w:hint="eastAsia" w:ascii="黑体" w:eastAsia="黑体"/>
                <w:sz w:val="18"/>
              </w:rPr>
            </w:pPr>
            <w:r>
              <w:rPr>
                <w:rFonts w:hint="eastAsia" w:ascii="黑体" w:eastAsia="黑体"/>
                <w:sz w:val="18"/>
              </w:rPr>
              <w:t>境内购置车辆为机动车销售统一发票或者其他有效</w:t>
            </w:r>
            <w:r>
              <w:rPr>
                <w:rFonts w:hint="eastAsia" w:ascii="黑体" w:eastAsia="黑体"/>
                <w:spacing w:val="-11"/>
                <w:sz w:val="18"/>
              </w:rPr>
              <w:t>凭证，进口自用车辆为《海关进口关税专用缴款书》或者海关进出口货物征免税证明，属于应征消费税车辆的还包括《海关进口</w:t>
            </w:r>
          </w:p>
          <w:p>
            <w:pPr>
              <w:pStyle w:val="21"/>
              <w:spacing w:before="18"/>
              <w:ind w:left="234"/>
              <w:rPr>
                <w:rFonts w:hint="eastAsia" w:ascii="黑体" w:eastAsia="黑体"/>
                <w:sz w:val="18"/>
              </w:rPr>
            </w:pPr>
            <w:r>
              <w:rPr>
                <w:rFonts w:hint="eastAsia" w:ascii="黑体" w:eastAsia="黑体"/>
                <w:sz w:val="18"/>
              </w:rPr>
              <w:t>消费税专用缴款书》。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164" w:type="dxa"/>
            <w:gridSpan w:val="5"/>
            <w:shd w:val="clear" w:color="auto" w:fill="D9D9D9"/>
          </w:tcPr>
          <w:p>
            <w:pPr>
              <w:pStyle w:val="21"/>
              <w:spacing w:before="136"/>
              <w:ind w:left="2506"/>
              <w:rPr>
                <w:rFonts w:hint="eastAsia" w:ascii="黑体" w:eastAsia="黑体"/>
                <w:sz w:val="21"/>
              </w:rPr>
            </w:pPr>
            <w:r>
              <w:rPr>
                <w:rFonts w:hint="eastAsia" w:ascii="黑体" w:eastAsia="黑体"/>
                <w:w w:val="95"/>
                <w:sz w:val="21"/>
              </w:rPr>
              <w:t>有以下情形的，还应提供相应材料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558" w:type="dxa"/>
            <w:gridSpan w:val="2"/>
            <w:shd w:val="clear" w:color="auto" w:fill="D7D7D7"/>
          </w:tcPr>
          <w:p>
            <w:pPr>
              <w:pStyle w:val="21"/>
              <w:spacing w:before="140"/>
              <w:ind w:left="101" w:right="97"/>
              <w:jc w:val="center"/>
              <w:rPr>
                <w:rFonts w:hint="eastAsia" w:ascii="黑体" w:eastAsia="黑体"/>
                <w:sz w:val="21"/>
              </w:rPr>
            </w:pPr>
            <w:r>
              <w:rPr>
                <w:rFonts w:hint="eastAsia" w:ascii="黑体" w:eastAsia="黑体"/>
                <w:w w:val="95"/>
                <w:sz w:val="21"/>
              </w:rPr>
              <w:t>适用情形</w:t>
            </w:r>
          </w:p>
        </w:tc>
        <w:tc>
          <w:tcPr>
            <w:tcW w:w="2658" w:type="dxa"/>
            <w:shd w:val="clear" w:color="auto" w:fill="D7D7D7"/>
          </w:tcPr>
          <w:p>
            <w:pPr>
              <w:pStyle w:val="21"/>
              <w:spacing w:before="140"/>
              <w:ind w:left="226" w:right="220"/>
              <w:jc w:val="center"/>
              <w:rPr>
                <w:rFonts w:hint="eastAsia" w:ascii="黑体" w:eastAsia="黑体"/>
                <w:sz w:val="21"/>
              </w:rPr>
            </w:pPr>
            <w:r>
              <w:rPr>
                <w:rFonts w:hint="eastAsia" w:ascii="黑体" w:eastAsia="黑体"/>
                <w:w w:val="95"/>
                <w:sz w:val="21"/>
              </w:rPr>
              <w:t>材料名称</w:t>
            </w:r>
          </w:p>
        </w:tc>
        <w:tc>
          <w:tcPr>
            <w:tcW w:w="680" w:type="dxa"/>
            <w:shd w:val="clear" w:color="auto" w:fill="D7D7D7"/>
          </w:tcPr>
          <w:p>
            <w:pPr>
              <w:pStyle w:val="21"/>
              <w:spacing w:before="140"/>
              <w:ind w:left="129"/>
              <w:rPr>
                <w:rFonts w:hint="eastAsia" w:ascii="黑体" w:eastAsia="黑体"/>
                <w:sz w:val="21"/>
              </w:rPr>
            </w:pPr>
            <w:r>
              <w:rPr>
                <w:rFonts w:hint="eastAsia" w:ascii="黑体" w:eastAsia="黑体"/>
                <w:w w:val="95"/>
                <w:sz w:val="21"/>
              </w:rPr>
              <w:t>数量</w:t>
            </w:r>
          </w:p>
        </w:tc>
        <w:tc>
          <w:tcPr>
            <w:tcW w:w="2268" w:type="dxa"/>
            <w:shd w:val="clear" w:color="auto" w:fill="D7D7D7"/>
          </w:tcPr>
          <w:p>
            <w:pPr>
              <w:pStyle w:val="21"/>
              <w:spacing w:before="140"/>
              <w:ind w:left="137" w:right="131"/>
              <w:jc w:val="center"/>
              <w:rPr>
                <w:rFonts w:hint="eastAsia" w:ascii="黑体" w:eastAsia="黑体"/>
                <w:sz w:val="21"/>
              </w:rPr>
            </w:pPr>
            <w:r>
              <w:rPr>
                <w:rFonts w:hint="eastAsia" w:ascii="黑体" w:eastAsia="黑体"/>
                <w:w w:val="95"/>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558" w:type="dxa"/>
            <w:gridSpan w:val="2"/>
          </w:tcPr>
          <w:p>
            <w:pPr>
              <w:pStyle w:val="21"/>
              <w:spacing w:before="14" w:line="321" w:lineRule="auto"/>
              <w:ind w:left="108" w:right="97"/>
              <w:rPr>
                <w:rFonts w:hint="eastAsia" w:ascii="黑体" w:eastAsia="黑体"/>
                <w:sz w:val="18"/>
              </w:rPr>
            </w:pPr>
            <w:r>
              <w:rPr>
                <w:rFonts w:hint="eastAsia" w:ascii="黑体" w:eastAsia="黑体"/>
                <w:sz w:val="18"/>
              </w:rPr>
              <w:t>免税、减税车辆因转让、改变用途等原因不再属于免税、减</w:t>
            </w:r>
          </w:p>
          <w:p>
            <w:pPr>
              <w:pStyle w:val="21"/>
              <w:spacing w:before="19"/>
              <w:ind w:left="108"/>
              <w:rPr>
                <w:rFonts w:hint="eastAsia" w:ascii="黑体" w:eastAsia="黑体"/>
                <w:sz w:val="18"/>
              </w:rPr>
            </w:pPr>
            <w:r>
              <w:rPr>
                <w:rFonts w:hint="eastAsia" w:ascii="黑体" w:eastAsia="黑体"/>
                <w:spacing w:val="-30"/>
                <w:sz w:val="18"/>
              </w:rPr>
              <w:t>税范围</w:t>
            </w:r>
            <w:r>
              <w:rPr>
                <w:rFonts w:hint="eastAsia" w:ascii="黑体" w:eastAsia="黑体"/>
                <w:sz w:val="18"/>
              </w:rPr>
              <w:t>（发Th二手车交易行为）</w:t>
            </w:r>
          </w:p>
        </w:tc>
        <w:tc>
          <w:tcPr>
            <w:tcW w:w="2658" w:type="dxa"/>
          </w:tcPr>
          <w:p>
            <w:pPr>
              <w:pStyle w:val="21"/>
              <w:spacing w:before="4"/>
              <w:rPr>
                <w:rFonts w:ascii="黑体"/>
                <w:sz w:val="25"/>
              </w:rPr>
            </w:pPr>
          </w:p>
          <w:p>
            <w:pPr>
              <w:pStyle w:val="21"/>
              <w:ind w:left="228" w:right="217"/>
              <w:jc w:val="center"/>
              <w:rPr>
                <w:rFonts w:hint="eastAsia" w:ascii="黑体" w:eastAsia="黑体"/>
                <w:sz w:val="18"/>
              </w:rPr>
            </w:pPr>
            <w:r>
              <w:rPr>
                <w:rFonts w:hint="eastAsia" w:ascii="黑体" w:eastAsia="黑体"/>
                <w:sz w:val="18"/>
              </w:rPr>
              <w:t>二手车销售统一发票</w:t>
            </w:r>
          </w:p>
        </w:tc>
        <w:tc>
          <w:tcPr>
            <w:tcW w:w="680" w:type="dxa"/>
          </w:tcPr>
          <w:p>
            <w:pPr>
              <w:pStyle w:val="21"/>
              <w:spacing w:before="4"/>
              <w:rPr>
                <w:rFonts w:ascii="黑体"/>
                <w:sz w:val="25"/>
              </w:rPr>
            </w:pPr>
          </w:p>
          <w:p>
            <w:pPr>
              <w:pStyle w:val="21"/>
              <w:ind w:left="182"/>
              <w:rPr>
                <w:rFonts w:hint="eastAsia" w:ascii="黑体" w:eastAsia="黑体"/>
                <w:sz w:val="18"/>
              </w:rPr>
            </w:pPr>
            <w:r>
              <w:rPr>
                <w:rFonts w:ascii="Times New Roman" w:eastAsia="Times New Roman"/>
                <w:sz w:val="18"/>
              </w:rPr>
              <w:t xml:space="preserve">1 </w:t>
            </w:r>
            <w:r>
              <w:rPr>
                <w:rFonts w:hint="eastAsia" w:ascii="黑体" w:eastAsia="黑体"/>
                <w:sz w:val="18"/>
              </w:rPr>
              <w:t>份</w:t>
            </w:r>
          </w:p>
        </w:tc>
        <w:tc>
          <w:tcPr>
            <w:tcW w:w="2268"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558" w:type="dxa"/>
            <w:gridSpan w:val="2"/>
          </w:tcPr>
          <w:p>
            <w:pPr>
              <w:pStyle w:val="21"/>
              <w:spacing w:before="13" w:line="321" w:lineRule="auto"/>
              <w:ind w:left="108" w:right="97"/>
              <w:jc w:val="center"/>
              <w:rPr>
                <w:rFonts w:hint="eastAsia" w:ascii="黑体" w:eastAsia="黑体"/>
                <w:sz w:val="18"/>
              </w:rPr>
            </w:pPr>
            <w:r>
              <w:rPr>
                <w:rFonts w:hint="eastAsia" w:ascii="黑体" w:eastAsia="黑体"/>
                <w:sz w:val="18"/>
              </w:rPr>
              <w:t>免税、减税车辆因转让、改变用途等原因不再属于免税、减</w:t>
            </w:r>
          </w:p>
          <w:p>
            <w:pPr>
              <w:pStyle w:val="21"/>
              <w:spacing w:before="19"/>
              <w:ind w:left="106" w:right="97"/>
              <w:jc w:val="center"/>
              <w:rPr>
                <w:rFonts w:hint="eastAsia" w:ascii="黑体" w:eastAsia="黑体"/>
                <w:sz w:val="18"/>
              </w:rPr>
            </w:pPr>
            <w:r>
              <w:rPr>
                <w:rFonts w:hint="eastAsia" w:ascii="黑体" w:eastAsia="黑体"/>
                <w:sz w:val="18"/>
              </w:rPr>
              <w:t>税范围（其他情形）</w:t>
            </w:r>
          </w:p>
        </w:tc>
        <w:tc>
          <w:tcPr>
            <w:tcW w:w="2658" w:type="dxa"/>
          </w:tcPr>
          <w:p>
            <w:pPr>
              <w:pStyle w:val="21"/>
              <w:spacing w:before="3"/>
              <w:rPr>
                <w:rFonts w:ascii="黑体"/>
                <w:sz w:val="25"/>
              </w:rPr>
            </w:pPr>
          </w:p>
          <w:p>
            <w:pPr>
              <w:pStyle w:val="21"/>
              <w:ind w:left="228" w:right="220"/>
              <w:jc w:val="center"/>
              <w:rPr>
                <w:rFonts w:hint="eastAsia" w:ascii="黑体" w:eastAsia="黑体"/>
                <w:sz w:val="18"/>
              </w:rPr>
            </w:pPr>
            <w:r>
              <w:rPr>
                <w:rFonts w:hint="eastAsia" w:ascii="黑体" w:eastAsia="黑体"/>
                <w:sz w:val="18"/>
              </w:rPr>
              <w:t>按照相关规定提供申报材料</w:t>
            </w:r>
          </w:p>
        </w:tc>
        <w:tc>
          <w:tcPr>
            <w:tcW w:w="680" w:type="dxa"/>
          </w:tcPr>
          <w:p>
            <w:pPr>
              <w:pStyle w:val="21"/>
              <w:spacing w:before="3"/>
              <w:rPr>
                <w:rFonts w:ascii="黑体"/>
                <w:sz w:val="25"/>
              </w:rPr>
            </w:pPr>
          </w:p>
          <w:p>
            <w:pPr>
              <w:pStyle w:val="21"/>
              <w:ind w:left="182"/>
              <w:rPr>
                <w:rFonts w:hint="eastAsia" w:ascii="黑体" w:eastAsia="黑体"/>
                <w:sz w:val="18"/>
              </w:rPr>
            </w:pPr>
            <w:r>
              <w:rPr>
                <w:rFonts w:ascii="Times New Roman" w:eastAsia="Times New Roman"/>
                <w:sz w:val="18"/>
              </w:rPr>
              <w:t xml:space="preserve">1 </w:t>
            </w:r>
            <w:r>
              <w:rPr>
                <w:rFonts w:hint="eastAsia" w:ascii="黑体" w:eastAsia="黑体"/>
                <w:sz w:val="18"/>
              </w:rPr>
              <w:t>份</w:t>
            </w:r>
          </w:p>
        </w:tc>
        <w:tc>
          <w:tcPr>
            <w:tcW w:w="2268" w:type="dxa"/>
          </w:tcPr>
          <w:p>
            <w:pPr>
              <w:pStyle w:val="21"/>
              <w:rPr>
                <w:rFonts w:ascii="Times New Roman"/>
                <w:sz w:val="20"/>
              </w:rPr>
            </w:pPr>
          </w:p>
        </w:tc>
      </w:tr>
    </w:tbl>
    <w:p>
      <w:pPr>
        <w:keepNext w:val="0"/>
        <w:keepLines w:val="0"/>
        <w:pageBreakBefore w:val="0"/>
        <w:widowControl/>
        <w:kinsoku/>
        <w:wordWrap/>
        <w:overflowPunct/>
        <w:topLinePunct w:val="0"/>
        <w:autoSpaceDE/>
        <w:autoSpaceDN/>
        <w:bidi w:val="0"/>
        <w:adjustRightInd/>
        <w:snapToGrid/>
        <w:spacing w:beforeLines="0" w:afterLines="0" w:line="240" w:lineRule="auto"/>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default" w:ascii="宋体" w:hAnsi="宋体" w:eastAsia="宋体"/>
          <w:sz w:val="28"/>
          <w:szCs w:val="28"/>
          <w:lang w:val="en-US" w:eastAsia="zh-CN"/>
        </w:rPr>
      </w:pPr>
      <w:r>
        <w:rPr>
          <w:rFonts w:hint="eastAsia" w:ascii="仿宋_GB2312" w:hAnsi="仿宋_GB2312" w:eastAsia="仿宋_GB2312" w:cs="仿宋_GB2312"/>
          <w:sz w:val="28"/>
          <w:szCs w:val="28"/>
          <w:highlight w:val="none"/>
          <w:lang w:eastAsia="zh-CN"/>
        </w:rPr>
        <w:t>为了您更加安全、便捷、高效办理业务，建议您采取线上办理。办理途径为：登陆国家税务总局湖北省电子税务局：</w:t>
      </w:r>
      <w:r>
        <w:rPr>
          <w:rFonts w:hint="eastAsia" w:ascii="宋体" w:hAnsi="宋体" w:eastAsia="宋体"/>
          <w:sz w:val="28"/>
          <w:szCs w:val="28"/>
        </w:rPr>
        <w:t>【</w:t>
      </w:r>
      <w:r>
        <w:rPr>
          <w:rFonts w:hint="eastAsia" w:ascii="宋体" w:hAnsi="宋体"/>
          <w:sz w:val="28"/>
          <w:szCs w:val="28"/>
          <w:lang w:eastAsia="zh-CN"/>
        </w:rPr>
        <w:t>其他申报</w:t>
      </w:r>
      <w:r>
        <w:rPr>
          <w:rFonts w:hint="eastAsia" w:ascii="宋体" w:hAnsi="宋体" w:eastAsia="宋体"/>
          <w:sz w:val="28"/>
          <w:szCs w:val="28"/>
        </w:rPr>
        <w:t>】-【</w:t>
      </w:r>
      <w:r>
        <w:rPr>
          <w:rFonts w:hint="eastAsia" w:ascii="宋体" w:hAnsi="宋体"/>
          <w:sz w:val="28"/>
          <w:szCs w:val="28"/>
          <w:lang w:eastAsia="zh-CN"/>
        </w:rPr>
        <w:t>车购税申报</w:t>
      </w:r>
      <w:r>
        <w:rPr>
          <w:rFonts w:hint="eastAsia" w:ascii="宋体" w:hAnsi="宋体" w:eastAsia="宋体"/>
          <w:sz w:val="28"/>
          <w:szCs w:val="28"/>
        </w:rPr>
        <w:t>】</w:t>
      </w:r>
      <w:r>
        <w:rPr>
          <w:rFonts w:hint="eastAsia" w:ascii="仿宋_GB2312" w:hAnsi="仿宋_GB2312" w:eastAsia="仿宋_GB2312" w:cs="仿宋_GB2312"/>
          <w:sz w:val="28"/>
          <w:szCs w:val="28"/>
          <w:highlight w:val="none"/>
          <w:lang w:eastAsia="zh-CN"/>
        </w:rPr>
        <w:t>功能模块</w:t>
      </w:r>
      <w:r>
        <w:rPr>
          <w:rFonts w:hint="eastAsia" w:ascii="宋体" w:hAnsi="宋体" w:eastAsia="宋体"/>
          <w:sz w:val="28"/>
          <w:szCs w:val="28"/>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bookmarkStart w:id="0" w:name="_GoBack"/>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1.车辆购置税的纳税义务发生时间为纳税人购置应税车辆的当日。</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（1）购买自用应税车辆的为购买之日，即车辆相关价格凭证的开具日期。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（2）进口自用应税车辆的为进口之日，即《海关进口增值税专用缴款书》或者其他有效凭证的开具日期。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（3）自产、受赠、获奖或者以其他方式取得并自用应税车辆的为取得之日， 即合同、法律文书或者其他有效凭证的生效或者开具日期。</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2.车辆购置税的计税价格根据不同情况按下列规定确定：</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（1）纳税人购买自用应税车辆的计税价格，为纳税人实际支付给销售者的全部价款，不包括增值税税款。</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（2）纳税人进口自用应税车辆的计税价格，为关税完税价格加上关税和消费税。</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（3）纳税人自产自用应税车辆的计税价格，按照纳税人生产的同类应税车辆的销售价格确定，不包括增值税税款。</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（4）纳税人以受赠、获奖或者其他方式取得自用应税车辆的计税价格，按照购置应税车辆时相关凭证载明的价格确定，不包括增值税税款。</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（5）纳税人以外汇结算应税车辆价款的，按照申报纳税之日的人民币汇率中间价折合成人民币计算缴纳税款。</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3.纳税人申报的应税车辆计税价格明显偏低，又无正当理由的，由税务机关依照《中华人民共和国税收征收管理法》的规定核定其应纳税额。</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4.免税、减税车辆因转让、改变用途等原因不再属于免税、减税范围的， 纳税人应当在办理车辆转移登记或者变更登记前缴纳车辆购置税。计税价格以免税、减税车辆初次办理纳税申报时确定的计税价格为基准，每满一年扣减百分之十。</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5.车辆购置税纳税地点：</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（1）需要办理车辆登记的，向车辆登记地的主管税务机关申报纳税。</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（2）不需要办理车辆登记的，单位纳税人向其机构所在地的主管税务机关 申报纳税，个人纳税人向其户籍所在地或者经常居住地的主管税务机关申报纳税。</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6.自 2019 年 6 月 1 日起，纳税人在全国范围内办理车辆购置税纳税业务时， 税务机关不再打印和发放纸质车辆购置税完税证明。纳税人办理完成车辆购置税纳税业务后，在公安机关交通管理部门办理车辆注册登记时，不需向公安机关交通管理部门提交纸质车辆购置税完税证明。</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7.自 2019 年 7 月 1 日起，纳税人在全国范围内办理车辆购置税补税、完税证明换证或者更正等业务时，税务机关不再出具纸质车辆购置税完税证明。纳税人如需纸质车辆购置税完税证明，可向主管税务机关提出，由主管税务机关打印《车辆购置税完税证明（电子版）》，也可自行通过本省（自治区、直辖市和计划单列市）电子税务局等官方互联网平台查询和打印。</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502010880" behindDoc="1" locked="0" layoutInCell="1" allowOverlap="1">
              <wp:simplePos x="0" y="0"/>
              <wp:positionH relativeFrom="page">
                <wp:posOffset>3781425</wp:posOffset>
              </wp:positionH>
              <wp:positionV relativeFrom="page">
                <wp:posOffset>9865995</wp:posOffset>
              </wp:positionV>
              <wp:extent cx="22479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75pt;margin-top:776.85pt;height:11pt;width:17.7pt;mso-position-horizontal-relative:page;mso-position-vertical-relative:page;z-index:-1305600;mso-width-relative:page;mso-height-relative:page;" filled="f" stroked="f" coordsize="21600,21600" o:gfxdata="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T9bsdsAAAANAQAADwAAAAAA&#10;AAABACAAAAAiAAAAZHJzL2Rvd25yZXYueG1sUEsBAhQAFAAAAAgAh07iQP9xW2OeAQAAIwMAAA4A&#10;AAAAAAAAAQAgAAAAKgEAAGRycy9lMm9Eb2MueG1sUEsFBgAAAAAGAAYAWQEAADo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30099"/>
    <w:rsid w:val="03E247A1"/>
    <w:rsid w:val="06A76544"/>
    <w:rsid w:val="0EC547EA"/>
    <w:rsid w:val="1559401C"/>
    <w:rsid w:val="16555473"/>
    <w:rsid w:val="18F56A0F"/>
    <w:rsid w:val="1C5E62F7"/>
    <w:rsid w:val="1C660F9D"/>
    <w:rsid w:val="2093339E"/>
    <w:rsid w:val="26533792"/>
    <w:rsid w:val="2ACD14FA"/>
    <w:rsid w:val="2C4D4873"/>
    <w:rsid w:val="3CD91632"/>
    <w:rsid w:val="3F1D3AC1"/>
    <w:rsid w:val="42DC7289"/>
    <w:rsid w:val="47B92C69"/>
    <w:rsid w:val="4C0D7EF2"/>
    <w:rsid w:val="4D0A4E81"/>
    <w:rsid w:val="4ECB6E63"/>
    <w:rsid w:val="52676A80"/>
    <w:rsid w:val="52772D0B"/>
    <w:rsid w:val="538507A9"/>
    <w:rsid w:val="66853ED6"/>
    <w:rsid w:val="71837E54"/>
    <w:rsid w:val="74493336"/>
    <w:rsid w:val="7A3C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602"/>
    </w:pPr>
    <w:rPr>
      <w:rFonts w:ascii="宋体" w:hAnsi="宋体" w:eastAsia="宋体" w:cs="宋体"/>
      <w:sz w:val="24"/>
      <w:szCs w:val="24"/>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TML Definition"/>
    <w:basedOn w:val="5"/>
    <w:uiPriority w:val="0"/>
  </w:style>
  <w:style w:type="character" w:styleId="8">
    <w:name w:val="HTML Variable"/>
    <w:basedOn w:val="5"/>
    <w:qFormat/>
    <w:uiPriority w:val="0"/>
  </w:style>
  <w:style w:type="character" w:styleId="9">
    <w:name w:val="Hyperlink"/>
    <w:basedOn w:val="5"/>
    <w:qFormat/>
    <w:uiPriority w:val="0"/>
    <w:rPr>
      <w:color w:val="0000FF"/>
      <w:u w:val="none"/>
    </w:rPr>
  </w:style>
  <w:style w:type="character" w:styleId="10">
    <w:name w:val="HTML Code"/>
    <w:basedOn w:val="5"/>
    <w:qFormat/>
    <w:uiPriority w:val="0"/>
    <w:rPr>
      <w:rFonts w:ascii="Courier New" w:hAnsi="Courier New"/>
      <w:sz w:val="20"/>
    </w:rPr>
  </w:style>
  <w:style w:type="character" w:styleId="11">
    <w:name w:val="HTML Cite"/>
    <w:basedOn w:val="5"/>
    <w:qFormat/>
    <w:uiPriority w:val="0"/>
  </w:style>
  <w:style w:type="character" w:customStyle="1" w:styleId="12">
    <w:name w:val="time"/>
    <w:basedOn w:val="5"/>
    <w:qFormat/>
    <w:uiPriority w:val="0"/>
    <w:rPr>
      <w:color w:val="999999"/>
      <w:sz w:val="21"/>
      <w:szCs w:val="21"/>
    </w:rPr>
  </w:style>
  <w:style w:type="character" w:customStyle="1" w:styleId="13">
    <w:name w:val="time1"/>
    <w:basedOn w:val="5"/>
    <w:qFormat/>
    <w:uiPriority w:val="0"/>
    <w:rPr>
      <w:color w:val="999999"/>
      <w:sz w:val="21"/>
      <w:szCs w:val="21"/>
    </w:rPr>
  </w:style>
  <w:style w:type="character" w:customStyle="1" w:styleId="14">
    <w:name w:val="first-child"/>
    <w:basedOn w:val="5"/>
    <w:qFormat/>
    <w:uiPriority w:val="0"/>
  </w:style>
  <w:style w:type="character" w:customStyle="1" w:styleId="15">
    <w:name w:val="to"/>
    <w:basedOn w:val="5"/>
    <w:qFormat/>
    <w:uiPriority w:val="0"/>
  </w:style>
  <w:style w:type="character" w:customStyle="1" w:styleId="16">
    <w:name w:val="lastest"/>
    <w:basedOn w:val="5"/>
    <w:qFormat/>
    <w:uiPriority w:val="0"/>
  </w:style>
  <w:style w:type="character" w:customStyle="1" w:styleId="17">
    <w:name w:val="bq"/>
    <w:basedOn w:val="5"/>
    <w:qFormat/>
    <w:uiPriority w:val="0"/>
  </w:style>
  <w:style w:type="character" w:customStyle="1" w:styleId="18">
    <w:name w:val="layui-layer-tabnow"/>
    <w:basedOn w:val="5"/>
    <w:qFormat/>
    <w:uiPriority w:val="0"/>
    <w:rPr>
      <w:bdr w:val="single" w:color="CCCCCC" w:sz="6" w:space="0"/>
      <w:shd w:val="clear" w:fill="FFFFFF"/>
    </w:rPr>
  </w:style>
  <w:style w:type="character" w:customStyle="1" w:styleId="19">
    <w:name w:val="kind"/>
    <w:basedOn w:val="5"/>
    <w:qFormat/>
    <w:uiPriority w:val="0"/>
    <w:rPr>
      <w:color w:val="336699"/>
      <w:bdr w:val="single" w:color="336699" w:sz="6" w:space="0"/>
    </w:rPr>
  </w:style>
  <w:style w:type="character" w:customStyle="1" w:styleId="20">
    <w:name w:val="sort"/>
    <w:basedOn w:val="5"/>
    <w:qFormat/>
    <w:uiPriority w:val="0"/>
    <w:rPr>
      <w:rFonts w:ascii="华文楷体" w:hAnsi="华文楷体" w:eastAsia="华文楷体" w:cs="华文楷体"/>
      <w:color w:val="666666"/>
    </w:rPr>
  </w:style>
  <w:style w:type="paragraph" w:customStyle="1" w:styleId="2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2023-02-21T02:59:34Z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