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left"/>
        <w:rPr>
          <w:rFonts w:hint="eastAsia" w:ascii="TimesNewRomanPS-BoldMT" w:hAnsi="TimesNewRomanPS-BoldMT" w:eastAsia="TimesNewRomanPS-BoldMT"/>
          <w:b/>
          <w:sz w:val="24"/>
          <w:szCs w:val="24"/>
        </w:rPr>
      </w:pPr>
      <w:r>
        <w:rPr>
          <w:rFonts w:hint="eastAsia" w:ascii="TimesNewRomanPS-BoldMT" w:hAnsi="TimesNewRomanPS-BoldMT" w:eastAsia="TimesNewRomanPS-BoldMT"/>
          <w:b/>
          <w:sz w:val="24"/>
          <w:szCs w:val="24"/>
        </w:rPr>
        <w:t>3.</w:t>
      </w:r>
      <w:r>
        <w:rPr>
          <w:rFonts w:hint="eastAsia" w:ascii="TimesNewRomanPS-BoldMT" w:hAnsi="TimesNewRomanPS-BoldMT" w:eastAsia="TimesNewRomanPS-BoldMT"/>
          <w:b/>
          <w:sz w:val="24"/>
          <w:szCs w:val="24"/>
          <w:lang w:val="en-US" w:eastAsia="zh-CN"/>
        </w:rPr>
        <w:t>2</w:t>
      </w:r>
      <w:r>
        <w:rPr>
          <w:rFonts w:hint="eastAsia" w:ascii="TimesNewRomanPS-BoldMT" w:hAnsi="TimesNewRomanPS-BoldMT" w:eastAsia="TimesNewRomanPS-BoldMT"/>
          <w:b/>
          <w:sz w:val="24"/>
          <w:szCs w:val="24"/>
        </w:rPr>
        <w:t>.</w:t>
      </w:r>
      <w:r>
        <w:rPr>
          <w:rFonts w:hint="eastAsia" w:ascii="TimesNewRomanPS-BoldMT" w:hAnsi="TimesNewRomanPS-BoldMT" w:eastAsia="TimesNewRomanPS-BoldMT"/>
          <w:b/>
          <w:sz w:val="24"/>
          <w:szCs w:val="24"/>
          <w:lang w:val="en-US" w:eastAsia="zh-CN"/>
        </w:rPr>
        <w:t>1</w:t>
      </w:r>
      <w:r>
        <w:rPr>
          <w:rFonts w:hint="eastAsia" w:ascii="TimesNewRomanPS-BoldMT" w:hAnsi="TimesNewRomanPS-BoldMT" w:eastAsia="TimesNewRomanPS-BoldMT"/>
          <w:b/>
          <w:sz w:val="24"/>
          <w:szCs w:val="24"/>
        </w:rPr>
        <w:t>—06</w:t>
      </w:r>
      <w:r>
        <w:rPr>
          <w:rFonts w:hint="eastAsia" w:ascii="TimesNewRomanPS-BoldMT" w:hAnsi="TimesNewRomanPS-BoldMT" w:eastAsia="TimesNewRomanPS-BoldMT"/>
          <w:b/>
          <w:sz w:val="24"/>
          <w:szCs w:val="24"/>
          <w:lang w:val="en-US" w:eastAsia="zh-CN"/>
        </w:rPr>
        <w:t>9</w:t>
      </w:r>
      <w:r>
        <w:rPr>
          <w:rFonts w:hint="eastAsia" w:ascii="TimesNewRomanPS-BoldMT" w:hAnsi="TimesNewRomanPS-BoldMT" w:eastAsia="TimesNewRomanPS-BoldMT"/>
          <w:b/>
          <w:sz w:val="24"/>
          <w:szCs w:val="24"/>
        </w:rPr>
        <w:t xml:space="preserve"> </w:t>
      </w:r>
    </w:p>
    <w:p>
      <w:pPr>
        <w:spacing w:beforeLines="0" w:afterLine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消费税申报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您要办的业务名称</w:t>
      </w:r>
      <w:r>
        <w:rPr>
          <w:rFonts w:hint="eastAsia" w:ascii="黑体" w:hAnsi="黑体" w:eastAsia="黑体"/>
          <w:sz w:val="28"/>
          <w:szCs w:val="28"/>
          <w:highlight w:val="none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您需要办理的业务为消费税申报。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您在什么情况下需要办理此业务</w:t>
      </w:r>
      <w:r>
        <w:rPr>
          <w:rFonts w:hint="eastAsia" w:ascii="黑体" w:hAnsi="黑体" w:eastAsia="黑体"/>
          <w:sz w:val="28"/>
          <w:szCs w:val="28"/>
          <w:highlight w:val="none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在中华人民共和国境内生产、委托加工和进口规定的消费品的单位和个人， 以及国务院确定的销售规定的消费品的其他单位和个人，依据相关税收法律、法规、规章及其他有关规定，在规定的纳税申报期限内填报消费税申报表、附表和其他相关资料，向税务机关进行纳税申报。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您需要提供什么</w:t>
      </w:r>
      <w:r>
        <w:rPr>
          <w:rFonts w:hint="eastAsia" w:ascii="黑体" w:hAnsi="黑体" w:eastAsia="黑体"/>
          <w:sz w:val="28"/>
          <w:szCs w:val="28"/>
          <w:highlight w:val="none"/>
        </w:rPr>
        <w:t>材料】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jc w:val="left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1、烟类应税消费品消费税申报，应报送：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80050" cy="308483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6875" cy="4155440"/>
            <wp:effectExtent l="0" t="0" r="952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2、酒类应税消费品消费税申报，应报送：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9415" cy="3983355"/>
            <wp:effectExtent l="0" t="0" r="698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3、成品油消费税申报，应报送：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4335" cy="606425"/>
            <wp:effectExtent l="0" t="0" r="1206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474335" cy="4520565"/>
            <wp:effectExtent l="0" t="0" r="1206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1160" cy="1987550"/>
            <wp:effectExtent l="0" t="0" r="152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80050" cy="3090545"/>
            <wp:effectExtent l="0" t="0" r="635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80050" cy="4487545"/>
            <wp:effectExtent l="0" t="0" r="635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4.小汽车消费税申报，应报送：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3700" cy="3345180"/>
            <wp:effectExtent l="0" t="0" r="1270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5.电池消费税申报，应报送：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4335" cy="617855"/>
            <wp:effectExtent l="0" t="0" r="1206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6875" cy="2774315"/>
            <wp:effectExtent l="0" t="0" r="952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6.涂料消费税申报，应报送：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4335" cy="3346450"/>
            <wp:effectExtent l="0" t="0" r="1206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7.其他类消费税申报，应报送：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80050" cy="2371725"/>
            <wp:effectExtent l="0" t="0" r="635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80050" cy="4511040"/>
            <wp:effectExtent l="0" t="0" r="635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6875" cy="4512310"/>
            <wp:effectExtent l="0" t="0" r="952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4335" cy="4505325"/>
            <wp:effectExtent l="0" t="0" r="1206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5476875" cy="664845"/>
            <wp:effectExtent l="0" t="0" r="9525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firstLine="560" w:firstLineChars="200"/>
        <w:jc w:val="left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您可以通过哪些途径办理此业务</w:t>
      </w:r>
      <w:r>
        <w:rPr>
          <w:rFonts w:hint="eastAsia" w:ascii="黑体" w:hAnsi="黑体" w:eastAsia="黑体"/>
          <w:sz w:val="28"/>
          <w:szCs w:val="28"/>
          <w:highlight w:val="none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您可以采取线上线下两种途径办理此业务。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为了您更加安全、便捷、高效办理业务，建议您采取线上办理。办理途径为：登陆国家税务总局湖北省电子税务局：左侧常用功能菜单</w:t>
      </w: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  <w:lang w:eastAsia="zh-CN"/>
        </w:rPr>
        <w:t>我要申报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模块进行申报。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您还可以前往汉阳区办税服务厅办理，地址为：汉阳区政务服务中心二楼（武汉市汉阳区四新北路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125号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MS-Mincho" w:hAnsi="MS-Mincho" w:eastAsia="MS-Mincho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该项业务的</w:t>
      </w:r>
      <w:r>
        <w:rPr>
          <w:rFonts w:hint="eastAsia" w:ascii="黑体" w:hAnsi="黑体" w:eastAsia="黑体"/>
          <w:sz w:val="28"/>
          <w:szCs w:val="28"/>
          <w:highlight w:val="none"/>
        </w:rPr>
        <w:t>办理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时限</w:t>
      </w:r>
      <w:r>
        <w:rPr>
          <w:rFonts w:hint="eastAsia" w:ascii="黑体" w:hAnsi="黑体" w:eastAsia="黑体"/>
          <w:sz w:val="28"/>
          <w:szCs w:val="28"/>
          <w:highlight w:val="none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即时办结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如您遇到任何疑问，可以通过以下方式</w:t>
      </w:r>
      <w:r>
        <w:rPr>
          <w:rFonts w:hint="eastAsia" w:ascii="黑体" w:hAnsi="黑体" w:eastAsia="黑体"/>
          <w:sz w:val="28"/>
          <w:szCs w:val="28"/>
          <w:highlight w:val="none"/>
        </w:rPr>
        <w:t>联系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我们</w:t>
      </w:r>
      <w:r>
        <w:rPr>
          <w:rFonts w:hint="eastAsia" w:ascii="黑体" w:hAnsi="黑体" w:eastAsia="黑体"/>
          <w:sz w:val="28"/>
          <w:szCs w:val="28"/>
          <w:highlight w:val="none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1.微信扫码登陆“武汉税务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码上办”微信小程序平台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2.电话：027-83412366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28"/>
          <w:szCs w:val="28"/>
          <w:highlight w:val="none"/>
        </w:rPr>
        <w:t>【</w:t>
      </w:r>
      <w:r>
        <w:rPr>
          <w:rFonts w:hint="eastAsia" w:ascii="黑体" w:hAnsi="黑体" w:eastAsia="黑体"/>
          <w:sz w:val="28"/>
          <w:szCs w:val="28"/>
          <w:highlight w:val="none"/>
          <w:lang w:eastAsia="zh-CN"/>
        </w:rPr>
        <w:t>您需要注意什么</w:t>
      </w:r>
      <w:r>
        <w:rPr>
          <w:rFonts w:hint="eastAsia" w:ascii="黑体" w:hAnsi="黑体" w:eastAsia="黑体"/>
          <w:sz w:val="28"/>
          <w:szCs w:val="28"/>
          <w:highlight w:val="none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1.纳税人应建立《葡萄酒消费税抵扣税款台账》，作为申报扣除外购、进口应税葡萄酒已纳消费税税款的备查资料。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2.纳税人应当建立《电池、涂料税款抵扣台账》，作为申报扣除委托加工收回应税消费品已纳消费税税款的备查资料。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3.自税款所属期 2018 年 3 月起，成品油消费税纳税人申报的某一类成品油销售数量，应大于或等于开具的该同一类成品油发票所载明的数量；申报扣除的成品油数量，应小于或等于取得的扣除凭证载明数量。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4.自2021年8月1日起，增值税、消费税分别与城市维护建设税、教育费附加、地方教育附加申报表整合，启用《增值税及附加税费申报表（一般纳税人适用）》、《增值税及附加税费申报表（小规模纳税人适用）》、《增值税及附加税费预缴表》及其附列资料和《消费税及附加税费申报表》（附件1-附件7），《废止文件及条款清单》（附件8）所列文件、条款同时废止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新申报表中，除实行主税附加税费合并申报外，消费税申报也进行了简并优化。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一是将原分税目的8张消费税纳税申报表主表整合为1张主表，基本框架结构维持不变，包含销售情况、税款计算和税款缴纳三部分，增加了栏次和列次序号及表内勾稽关系，删除不参与消费税计算的“期初未缴税额”等3个项目，方便纳税人平稳过渡使用新申报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二是将原分税目的22张消费税纳税申报表附表整合为7张附表，其中4张为通用附表，1张成品油消费税纳税人填报的专用附表、2张卷烟消费税纳税人填报的专用附表。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新申报表将原分税目的消费税纳税申报表主表、附表进行了整合。系统根据纳税人登记的消费税征收品目信息，自动带出申报表主表中的“应税消费品名称”“适用税率”等内容以及该纳税人需要填报的附表，方便纳税人填报。成品油消费税纳税人、卷烟消费税纳税人需要填报的专用附表，其他纳税人不需填报，系统也不会带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扣缴义务人代扣消费税税款后，应给委托方开具《中华人民共和国税收缴款书（代扣代收专用）》，委托方可凭该缴款书按规定申报抵扣消费税款。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扣缴义务人向主管税务机关申报缴纳代扣的消费税时，不再填报《本期代收代缴税额计算表》，应填报通用《代扣代缴、代收代缴税款明细报告表》和《中华人民共和国税收缴款书（代扣代收专用）》附表，并根据系统自动生成的《代扣代缴、代收代缴税款明细报告表》“实代扣代缴、代收代缴税额”栏的合计数，缴纳代扣税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40" w:lineRule="exact"/>
        <w:ind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NewRomanPS-BoldMT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MS-Mincho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830099"/>
    <w:rsid w:val="0EC547EA"/>
    <w:rsid w:val="0F557EA2"/>
    <w:rsid w:val="16555473"/>
    <w:rsid w:val="18F56A0F"/>
    <w:rsid w:val="1C5E62F7"/>
    <w:rsid w:val="2093339E"/>
    <w:rsid w:val="26533792"/>
    <w:rsid w:val="2A0E317D"/>
    <w:rsid w:val="2ACD14FA"/>
    <w:rsid w:val="2C4D4873"/>
    <w:rsid w:val="3CD91632"/>
    <w:rsid w:val="3F1D3AC1"/>
    <w:rsid w:val="42DC7289"/>
    <w:rsid w:val="47B92C69"/>
    <w:rsid w:val="4BF45999"/>
    <w:rsid w:val="4C0D7EF2"/>
    <w:rsid w:val="4ECB6E63"/>
    <w:rsid w:val="508407A2"/>
    <w:rsid w:val="52676A80"/>
    <w:rsid w:val="538507A9"/>
    <w:rsid w:val="66853ED6"/>
    <w:rsid w:val="71837E54"/>
    <w:rsid w:val="74493336"/>
    <w:rsid w:val="7A3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602"/>
    </w:pPr>
    <w:rPr>
      <w:rFonts w:ascii="宋体" w:hAnsi="宋体" w:eastAsia="宋体" w:cs="宋体"/>
      <w:sz w:val="24"/>
      <w:szCs w:val="24"/>
    </w:rPr>
  </w:style>
  <w:style w:type="paragraph" w:styleId="3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TML Definition"/>
    <w:basedOn w:val="5"/>
    <w:qFormat/>
    <w:uiPriority w:val="0"/>
  </w:style>
  <w:style w:type="character" w:styleId="10">
    <w:name w:val="HTML Variable"/>
    <w:basedOn w:val="5"/>
    <w:qFormat/>
    <w:uiPriority w:val="0"/>
  </w:style>
  <w:style w:type="character" w:styleId="11">
    <w:name w:val="Hyperlink"/>
    <w:basedOn w:val="5"/>
    <w:qFormat/>
    <w:uiPriority w:val="0"/>
    <w:rPr>
      <w:color w:val="0000FF"/>
      <w:u w:val="none"/>
    </w:rPr>
  </w:style>
  <w:style w:type="character" w:styleId="12">
    <w:name w:val="HTML Code"/>
    <w:basedOn w:val="5"/>
    <w:qFormat/>
    <w:uiPriority w:val="0"/>
    <w:rPr>
      <w:rFonts w:ascii="Courier New" w:hAnsi="Courier New"/>
      <w:sz w:val="20"/>
    </w:rPr>
  </w:style>
  <w:style w:type="character" w:styleId="13">
    <w:name w:val="HTML Cite"/>
    <w:basedOn w:val="5"/>
    <w:qFormat/>
    <w:uiPriority w:val="0"/>
  </w:style>
  <w:style w:type="character" w:customStyle="1" w:styleId="14">
    <w:name w:val="time"/>
    <w:basedOn w:val="5"/>
    <w:qFormat/>
    <w:uiPriority w:val="0"/>
    <w:rPr>
      <w:color w:val="999999"/>
      <w:sz w:val="21"/>
      <w:szCs w:val="21"/>
    </w:rPr>
  </w:style>
  <w:style w:type="character" w:customStyle="1" w:styleId="15">
    <w:name w:val="time1"/>
    <w:basedOn w:val="5"/>
    <w:qFormat/>
    <w:uiPriority w:val="0"/>
    <w:rPr>
      <w:color w:val="999999"/>
      <w:sz w:val="21"/>
      <w:szCs w:val="21"/>
    </w:rPr>
  </w:style>
  <w:style w:type="character" w:customStyle="1" w:styleId="16">
    <w:name w:val="first-child"/>
    <w:basedOn w:val="5"/>
    <w:qFormat/>
    <w:uiPriority w:val="0"/>
  </w:style>
  <w:style w:type="character" w:customStyle="1" w:styleId="17">
    <w:name w:val="to"/>
    <w:basedOn w:val="5"/>
    <w:qFormat/>
    <w:uiPriority w:val="0"/>
  </w:style>
  <w:style w:type="character" w:customStyle="1" w:styleId="18">
    <w:name w:val="lastest"/>
    <w:basedOn w:val="5"/>
    <w:qFormat/>
    <w:uiPriority w:val="0"/>
  </w:style>
  <w:style w:type="character" w:customStyle="1" w:styleId="19">
    <w:name w:val="bq"/>
    <w:basedOn w:val="5"/>
    <w:qFormat/>
    <w:uiPriority w:val="0"/>
  </w:style>
  <w:style w:type="character" w:customStyle="1" w:styleId="20">
    <w:name w:val="layui-layer-tabnow"/>
    <w:basedOn w:val="5"/>
    <w:qFormat/>
    <w:uiPriority w:val="0"/>
    <w:rPr>
      <w:bdr w:val="single" w:color="CCCCCC" w:sz="6" w:space="0"/>
      <w:shd w:val="clear" w:fill="FFFFFF"/>
    </w:rPr>
  </w:style>
  <w:style w:type="character" w:customStyle="1" w:styleId="21">
    <w:name w:val="kind"/>
    <w:basedOn w:val="5"/>
    <w:qFormat/>
    <w:uiPriority w:val="0"/>
    <w:rPr>
      <w:color w:val="336699"/>
      <w:bdr w:val="single" w:color="336699" w:sz="6" w:space="0"/>
    </w:rPr>
  </w:style>
  <w:style w:type="character" w:customStyle="1" w:styleId="22">
    <w:name w:val="sort"/>
    <w:basedOn w:val="5"/>
    <w:qFormat/>
    <w:uiPriority w:val="0"/>
    <w:rPr>
      <w:rFonts w:ascii="华文楷体" w:hAnsi="华文楷体" w:eastAsia="华文楷体" w:cs="华文楷体"/>
      <w:color w:val="666666"/>
    </w:rPr>
  </w:style>
  <w:style w:type="paragraph" w:customStyle="1" w:styleId="23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2023-02-21T02:59:04Z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