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default" w:ascii="黑体" w:hAnsi="黑体" w:eastAsia="黑体"/>
          <w:sz w:val="24"/>
          <w:szCs w:val="24"/>
          <w:lang w:val="en-US" w:eastAsia="zh-CN"/>
        </w:rPr>
      </w:pPr>
      <w:r>
        <w:rPr>
          <w:rFonts w:hint="eastAsia" w:ascii="黑体" w:hAnsi="黑体" w:eastAsia="黑体"/>
          <w:sz w:val="24"/>
          <w:szCs w:val="24"/>
        </w:rPr>
        <w:t>2.4.1—0</w:t>
      </w:r>
      <w:r>
        <w:rPr>
          <w:rFonts w:hint="eastAsia" w:ascii="黑体" w:hAnsi="黑体" w:eastAsia="黑体"/>
          <w:sz w:val="24"/>
          <w:szCs w:val="24"/>
          <w:lang w:val="en-US" w:eastAsia="zh-CN"/>
        </w:rPr>
        <w:t>60</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未按期申报抵扣增值税扣税凭证抵扣申请</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未按期申报抵扣增值税扣税凭证抵扣申请</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纳税人发生真实交易且存在客观原因，属于下列情形的，经税务机关核实后，允许纳税人继续申报抵扣其进项税额。</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1.增值税一般纳税人取得的增值税扣税凭证已认证、已选择确认或已采集上报信息，但未按照规定期限申报抵扣的。</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2.实行纳税辅导期管理的增值税一般纳税人，取得的增值税扣税凭证稽核比对结果相符但未按照规定期限申报抵扣的。</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3.实行海关进口增值税专用缴款书“先比对后抵扣”管理办法的增值税一般纳税人，取得的增值税扣税凭证稽核比对结果相符但未按规定期限申报抵扣的。</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黑体" w:hAnsi="黑体" w:eastAsia="黑体"/>
          <w:sz w:val="28"/>
          <w:szCs w:val="28"/>
          <w:highlight w:val="none"/>
          <w:lang w:eastAsia="zh-CN"/>
        </w:rPr>
        <w:t>您需要提供什么材料】</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pict>
          <v:shape id="_x0000_s1029" o:spid="_x0000_s1029" o:spt="75" type="#_x0000_t75" style="position:absolute;left:0pt;margin-left:-1.1pt;margin-top:3.1pt;height:214.75pt;width:431.65pt;mso-wrap-distance-bottom:0pt;mso-wrap-distance-top:0pt;z-index:251658240;mso-width-relative:page;mso-height-relative:page;" o:ole="t" filled="f" o:preferrelative="t" stroked="f" coordsize="21600,21600">
            <v:path/>
            <v:fill on="f" focussize="0,0"/>
            <v:stroke on="f"/>
            <v:imagedata r:id="rId5" o:title=""/>
            <o:lock v:ext="edit" aspectratio="f"/>
            <w10:wrap type="topAndBottom"/>
          </v:shape>
          <o:OLEObject Type="Embed" ProgID="Picture.PicObj.1" ShapeID="_x0000_s1029" DrawAspect="Content" ObjectID="_1468075725" r:id="rId4">
            <o:LockedField>false</o:LockedField>
          </o:OLEObject>
        </w:pic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您可以采取线上线下两种途径办理此业务。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为了您更加安全、便捷、高效办理业务，建议您采取线上办理。线上办理途径为：</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0000FF"/>
          <w:sz w:val="28"/>
          <w:szCs w:val="28"/>
          <w:highlight w:val="none"/>
          <w:lang w:val="en-US" w:eastAsia="zh-CN"/>
        </w:rPr>
      </w:pPr>
      <w:r>
        <w:rPr>
          <w:rFonts w:hint="eastAsia" w:ascii="仿宋_GB2312" w:hAnsi="仿宋_GB2312" w:eastAsia="仿宋_GB2312" w:cs="仿宋_GB2312"/>
          <w:sz w:val="28"/>
          <w:szCs w:val="28"/>
          <w:highlight w:val="none"/>
          <w:lang w:eastAsia="zh-CN"/>
        </w:rPr>
        <w:t>登陆国家税务总局湖北省电子税务局：【我要办税】-【增值税抵扣凭证管理】-【未按期申报抵扣增值税扣税凭证抵扣管理】的路径或在搜索模块直接搜索“未按期申报抵扣增值税扣税凭证抵扣管理”进入功能模块。</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FF"/>
          <w:sz w:val="28"/>
          <w:szCs w:val="28"/>
          <w:highlight w:val="none"/>
          <w:lang w:val="en-US" w:eastAsia="zh-CN"/>
        </w:rPr>
        <w:t>微信扫码登陆“武汉税务</w:t>
      </w:r>
      <w:r>
        <w:rPr>
          <w:rFonts w:hint="eastAsia" w:ascii="仿宋" w:hAnsi="仿宋" w:eastAsia="仿宋" w:cs="仿宋"/>
          <w:color w:val="0000FF"/>
          <w:sz w:val="28"/>
          <w:szCs w:val="28"/>
          <w:highlight w:val="none"/>
          <w:lang w:val="en-US" w:eastAsia="zh-CN"/>
        </w:rPr>
        <w:t>·</w:t>
      </w:r>
      <w:r>
        <w:rPr>
          <w:rFonts w:hint="eastAsia" w:ascii="仿宋_GB2312" w:hAnsi="仿宋_GB2312" w:eastAsia="仿宋_GB2312" w:cs="仿宋_GB2312"/>
          <w:color w:val="0000FF"/>
          <w:sz w:val="28"/>
          <w:szCs w:val="28"/>
          <w:highlight w:val="none"/>
          <w:lang w:val="en-US" w:eastAsia="zh-CN"/>
        </w:rPr>
        <w:t>码上办”微信小程序平台，注册登陆后在发票类——未按期申报抵扣增值税扣税凭证抵扣申请模块操作（“武汉税务</w:t>
      </w:r>
      <w:r>
        <w:rPr>
          <w:rFonts w:hint="eastAsia" w:ascii="仿宋" w:hAnsi="仿宋" w:eastAsia="仿宋" w:cs="仿宋"/>
          <w:color w:val="0000FF"/>
          <w:sz w:val="28"/>
          <w:szCs w:val="28"/>
          <w:highlight w:val="none"/>
          <w:lang w:val="en-US" w:eastAsia="zh-CN"/>
        </w:rPr>
        <w:t>·</w:t>
      </w:r>
      <w:r>
        <w:rPr>
          <w:rFonts w:hint="eastAsia" w:ascii="仿宋_GB2312" w:hAnsi="仿宋_GB2312" w:eastAsia="仿宋_GB2312" w:cs="仿宋_GB2312"/>
          <w:color w:val="0000FF"/>
          <w:sz w:val="28"/>
          <w:szCs w:val="28"/>
          <w:highlight w:val="none"/>
          <w:lang w:val="en-US" w:eastAsia="zh-CN"/>
        </w:rPr>
        <w:t>码上办”二维码见后面附件2）；</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您还可以前往汉阳区办税服务厅办理，地址为：汉阳区政务服务中心二楼（武汉市汉阳区四新北路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15 个工作日内办结。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纳税人发生真实交易且存在客观原因包括如下类型：</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（1）因自然灾害、社会突发事件等不可抗力原因造成增值税扣税凭证未按期申报抵扣；</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（2）有关司法、行政机关在办理业务或者检查中，扣押、封存纳税人账簿资料，导致纳税人未能按期办理申报手续；</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（3）税务机关信息系统、网络故障，导致纳税人未能及时取得认证结果通知或稽核结果通知书，未能及时办理申报抵扣；</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（4）由于企业办税人员伤亡、突发危重疾病或者擅自离职，未能办理交接手续，导致未能按期申报抵扣；</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（5）国家税务总局规定的其他情形。</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cs="黑体"/>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beforeLines="0" w:afterLines="0" w:line="440" w:lineRule="exact"/>
        <w:jc w:val="left"/>
        <w:textAlignment w:val="auto"/>
        <w:outlineLvl w:val="9"/>
        <w:rPr>
          <w:rFonts w:hint="eastAsia" w:ascii="仿宋_GB2312" w:hAnsi="仿宋_GB2312" w:eastAsia="仿宋_GB2312" w:cs="仿宋_GB2312"/>
          <w:sz w:val="28"/>
          <w:szCs w:val="28"/>
          <w:highlight w:val="none"/>
          <w:lang w:val="en-US" w:eastAsia="zh-CN"/>
        </w:rPr>
      </w:pP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Mincho">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9644"/>
    <w:multiLevelType w:val="singleLevel"/>
    <w:tmpl w:val="0038964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932DD4"/>
    <w:rsid w:val="27E02B58"/>
    <w:rsid w:val="386539C7"/>
    <w:rsid w:val="42DC7289"/>
    <w:rsid w:val="47B92C69"/>
    <w:rsid w:val="48AB11F4"/>
    <w:rsid w:val="50537537"/>
    <w:rsid w:val="506B2267"/>
    <w:rsid w:val="50D812C8"/>
    <w:rsid w:val="613044CA"/>
    <w:rsid w:val="74493336"/>
    <w:rsid w:val="7A90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2023-02-21T02:55:02Z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