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sz w:val="24"/>
          <w:szCs w:val="24"/>
        </w:rPr>
      </w:pPr>
      <w:r>
        <w:rPr>
          <w:rFonts w:hint="eastAsia" w:ascii="黑体" w:hAnsi="黑体" w:eastAsia="黑体"/>
          <w:sz w:val="24"/>
          <w:szCs w:val="24"/>
        </w:rPr>
        <w:t>2.4.1—056</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存根联数据采集</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存根联数据采集</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使用增值税发票管理系统的纳税人应于每月申报期内向税务机关报送增值税发票数据，税务机关对数据进行比对校验，接收数据。</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黑体" w:hAnsi="黑体" w:eastAsia="黑体"/>
          <w:sz w:val="28"/>
          <w:szCs w:val="28"/>
          <w:highlight w:val="none"/>
          <w:lang w:eastAsia="zh-CN"/>
        </w:rPr>
        <w:t>【您需要提供什么材料】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pict>
          <v:shape id="_x0000_s1026" o:spid="_x0000_s1026" o:spt="75" type="#_x0000_t75" style="position:absolute;left:0pt;margin-left:7.75pt;margin-top:9.9pt;height:173.45pt;width:431.9pt;mso-wrap-distance-bottom:0pt;mso-wrap-distance-top:0pt;z-index:251658240;mso-width-relative:page;mso-height-relative:page;" o:ole="t" filled="f" o:preferrelative="t" stroked="f" coordsize="21600,21600">
            <v:path/>
            <v:fill on="f" focussize="0,0"/>
            <v:stroke on="f"/>
            <v:imagedata r:id="rId5" o:title=""/>
            <o:lock v:ext="edit" aspectratio="f"/>
            <w10:wrap type="topAndBottom"/>
          </v:shape>
          <o:OLEObject Type="Embed" ProgID="Picture.PicObj.1" ShapeID="_x0000_s1026" DrawAspect="Content" ObjectID="_1468075725" r:id="rId4">
            <o:LockedField>false</o:LockedField>
          </o:OLEObject>
        </w:pic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1.纳税人应在互联网连接状态下在线使用增值税发票管理系统开具发票，系统可自动上传</w:t>
      </w:r>
      <w:bookmarkStart w:id="0" w:name="_GoBack"/>
      <w:bookmarkEnd w:id="0"/>
      <w:r>
        <w:rPr>
          <w:rFonts w:hint="eastAsia" w:ascii="仿宋_GB2312" w:hAnsi="仿宋_GB2312" w:eastAsia="仿宋_GB2312" w:cs="仿宋_GB2312"/>
          <w:sz w:val="28"/>
          <w:szCs w:val="28"/>
          <w:highlight w:val="none"/>
          <w:lang w:val="en-US" w:eastAsia="zh-CN"/>
        </w:rPr>
        <w:t>已开具的发票明细数据。</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数据后方可开票，若仍无法连通网络的需携带专用设备到税务机关处理。</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按照有关规定不使用网络办税或不具备网络条件的特定纳税人，以离线方式开具发票，不受离线开票时限和离线开具发票总金额限制。特定纳税人需携带专用设备和相关资料到税务机关进行存根联数据采集。</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以离线方式开具发票的纳税人，因金税盘、税控盘同时损坏等原因不能报税的，纳税人应提供当月全部增值税发票到税务机关进行数据采集。</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2.纳税人应按规定作废发票。发票遗失、损毁的，应向主管税务机关报告处理。</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3.使用增值税发票管理系统的纳税人应向税务机关如实报送增值税发票数据，如实填列增值税纳税申报表进行申报。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4.自2019 年9 月20 日起，纳税人需要通过增值税发票管理系统开具17%、16%、11%、10%税率蓝字发票的，应向主管税务机关提交《开具原适用税率发票承诺书》，办理临时开票权限。临时开票权限有效期限为24 小时，纳税人应在获取临时开票权限的规定期限内开具原适用税率发票。</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32DD4"/>
    <w:rsid w:val="2CBB6D84"/>
    <w:rsid w:val="3FC41930"/>
    <w:rsid w:val="42DC7289"/>
    <w:rsid w:val="47B92C69"/>
    <w:rsid w:val="50537537"/>
    <w:rsid w:val="74493336"/>
    <w:rsid w:val="7A90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