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127E63">
      <w:pPr>
        <w:spacing w:before="244" w:line="219" w:lineRule="auto"/>
        <w:ind w:firstLine="783" w:firstLineChars="200"/>
        <w:rPr>
          <w:rFonts w:hint="eastAsia" w:ascii="黑体" w:hAnsi="黑体" w:eastAsia="黑体" w:cs="黑体"/>
          <w:sz w:val="39"/>
          <w:szCs w:val="39"/>
        </w:rPr>
      </w:pPr>
      <w:r>
        <w:rPr>
          <w:rFonts w:hint="eastAsia" w:ascii="黑体" w:hAnsi="黑体" w:eastAsia="黑体" w:cs="黑体"/>
          <w:b/>
          <w:bCs/>
          <w:sz w:val="39"/>
          <w:szCs w:val="39"/>
        </w:rPr>
        <w:t>202</w:t>
      </w:r>
      <w:r>
        <w:rPr>
          <w:rFonts w:hint="eastAsia" w:ascii="黑体" w:hAnsi="黑体" w:eastAsia="黑体" w:cs="黑体"/>
          <w:b/>
          <w:bCs/>
          <w:sz w:val="39"/>
          <w:szCs w:val="39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z w:val="39"/>
          <w:szCs w:val="39"/>
        </w:rPr>
        <w:t>年度</w:t>
      </w:r>
      <w:r>
        <w:rPr>
          <w:rFonts w:hint="eastAsia" w:ascii="黑体" w:hAnsi="黑体" w:eastAsia="黑体" w:cs="黑体"/>
          <w:b/>
          <w:bCs/>
          <w:sz w:val="39"/>
          <w:szCs w:val="39"/>
          <w:lang w:val="en-US" w:eastAsia="zh-CN"/>
        </w:rPr>
        <w:t>汉阳区教育局</w:t>
      </w:r>
      <w:r>
        <w:rPr>
          <w:rFonts w:hint="eastAsia" w:ascii="黑体" w:hAnsi="黑体" w:eastAsia="黑体" w:cs="黑体"/>
          <w:b/>
          <w:bCs/>
          <w:sz w:val="39"/>
          <w:szCs w:val="39"/>
        </w:rPr>
        <w:t>部门整体绩效自评表</w:t>
      </w:r>
    </w:p>
    <w:p w14:paraId="49889ED5">
      <w:pPr>
        <w:spacing w:line="112" w:lineRule="exact"/>
      </w:pPr>
    </w:p>
    <w:tbl>
      <w:tblPr>
        <w:tblStyle w:val="4"/>
        <w:tblW w:w="92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4"/>
        <w:gridCol w:w="1419"/>
        <w:gridCol w:w="1738"/>
        <w:gridCol w:w="1868"/>
        <w:gridCol w:w="1088"/>
        <w:gridCol w:w="2372"/>
      </w:tblGrid>
      <w:tr w14:paraId="402453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63" w:type="dxa"/>
            <w:gridSpan w:val="2"/>
            <w:vAlign w:val="top"/>
          </w:tcPr>
          <w:p w14:paraId="7C0680EE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单位名称</w:t>
            </w:r>
          </w:p>
        </w:tc>
        <w:tc>
          <w:tcPr>
            <w:tcW w:w="7066" w:type="dxa"/>
            <w:gridSpan w:val="4"/>
            <w:vAlign w:val="top"/>
          </w:tcPr>
          <w:p w14:paraId="5E31180B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汉阳区教育局</w:t>
            </w:r>
          </w:p>
        </w:tc>
      </w:tr>
      <w:tr w14:paraId="2BE375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163" w:type="dxa"/>
            <w:gridSpan w:val="2"/>
            <w:vAlign w:val="top"/>
          </w:tcPr>
          <w:p w14:paraId="334CDE0D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基本支出总额</w:t>
            </w:r>
          </w:p>
        </w:tc>
        <w:tc>
          <w:tcPr>
            <w:tcW w:w="3606" w:type="dxa"/>
            <w:gridSpan w:val="2"/>
            <w:vAlign w:val="top"/>
          </w:tcPr>
          <w:p w14:paraId="320A15C0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1705.96</w:t>
            </w:r>
          </w:p>
        </w:tc>
        <w:tc>
          <w:tcPr>
            <w:tcW w:w="1088" w:type="dxa"/>
            <w:vAlign w:val="top"/>
          </w:tcPr>
          <w:p w14:paraId="290C6AEE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项目支出总额</w:t>
            </w:r>
          </w:p>
        </w:tc>
        <w:tc>
          <w:tcPr>
            <w:tcW w:w="2372" w:type="dxa"/>
            <w:vAlign w:val="top"/>
          </w:tcPr>
          <w:p w14:paraId="547BDD9C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5510.46</w:t>
            </w:r>
          </w:p>
        </w:tc>
      </w:tr>
      <w:tr w14:paraId="4FBA45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5" w:hRule="atLeast"/>
        </w:trPr>
        <w:tc>
          <w:tcPr>
            <w:tcW w:w="2163" w:type="dxa"/>
            <w:gridSpan w:val="2"/>
            <w:vAlign w:val="top"/>
          </w:tcPr>
          <w:p w14:paraId="4083793C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年度目标</w:t>
            </w:r>
          </w:p>
        </w:tc>
        <w:tc>
          <w:tcPr>
            <w:tcW w:w="7066" w:type="dxa"/>
            <w:gridSpan w:val="4"/>
            <w:vAlign w:val="top"/>
          </w:tcPr>
          <w:p w14:paraId="6A60F4F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进一步提升保障能力。</w:t>
            </w:r>
          </w:p>
          <w:p w14:paraId="4C84864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进一步更新教育理念。以改革创新为突破口，全面促进汉阳教育提质增效。</w:t>
            </w:r>
          </w:p>
          <w:p w14:paraId="11813C6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进一步打造优秀队伍。聚焦教师素养整体提升，打造一批专家领衔的研究实践团队、基地、工作室和项目校，培养一批学科领军人物和专业组织，构建最优教师成长生态。</w:t>
            </w:r>
          </w:p>
          <w:p w14:paraId="424147D0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446774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744" w:type="dxa"/>
            <w:vMerge w:val="restart"/>
            <w:tcBorders>
              <w:bottom w:val="nil"/>
            </w:tcBorders>
            <w:vAlign w:val="top"/>
          </w:tcPr>
          <w:p w14:paraId="181C181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3585BB96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22E6541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07B59AE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005CABC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715A47F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38B4AEE9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3B200C5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1D83A51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55302AC9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344F4F6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491A59B9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3815C10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2E6E474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06EA29B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524F3AB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年度绩效指标</w:t>
            </w:r>
          </w:p>
        </w:tc>
        <w:tc>
          <w:tcPr>
            <w:tcW w:w="1419" w:type="dxa"/>
            <w:vAlign w:val="top"/>
          </w:tcPr>
          <w:p w14:paraId="0F19427D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二级指标</w:t>
            </w:r>
          </w:p>
        </w:tc>
        <w:tc>
          <w:tcPr>
            <w:tcW w:w="1738" w:type="dxa"/>
            <w:vAlign w:val="top"/>
          </w:tcPr>
          <w:p w14:paraId="2D1D31E9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三级指标</w:t>
            </w:r>
          </w:p>
        </w:tc>
        <w:tc>
          <w:tcPr>
            <w:tcW w:w="1868" w:type="dxa"/>
            <w:vAlign w:val="top"/>
          </w:tcPr>
          <w:p w14:paraId="62C39E7C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指标分类</w:t>
            </w:r>
          </w:p>
        </w:tc>
        <w:tc>
          <w:tcPr>
            <w:tcW w:w="1088" w:type="dxa"/>
            <w:vAlign w:val="top"/>
          </w:tcPr>
          <w:p w14:paraId="7642C29E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年初目标值(a)</w:t>
            </w:r>
          </w:p>
        </w:tc>
        <w:tc>
          <w:tcPr>
            <w:tcW w:w="2372" w:type="dxa"/>
            <w:vAlign w:val="top"/>
          </w:tcPr>
          <w:p w14:paraId="6B6A81E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实 际 完 成 值 ( )</w:t>
            </w:r>
          </w:p>
        </w:tc>
      </w:tr>
      <w:tr w14:paraId="745B3E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8C22476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419" w:type="dxa"/>
            <w:vAlign w:val="top"/>
          </w:tcPr>
          <w:p w14:paraId="2249EB8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公用经费控制</w:t>
            </w:r>
          </w:p>
        </w:tc>
        <w:tc>
          <w:tcPr>
            <w:tcW w:w="1738" w:type="dxa"/>
            <w:vAlign w:val="top"/>
          </w:tcPr>
          <w:p w14:paraId="69DBF218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公用经费控制率</w:t>
            </w:r>
          </w:p>
        </w:tc>
        <w:tc>
          <w:tcPr>
            <w:tcW w:w="1868" w:type="dxa"/>
            <w:vAlign w:val="top"/>
          </w:tcPr>
          <w:p w14:paraId="07827A4D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预决算差异率</w:t>
            </w:r>
          </w:p>
        </w:tc>
        <w:tc>
          <w:tcPr>
            <w:tcW w:w="1088" w:type="dxa"/>
            <w:vAlign w:val="top"/>
          </w:tcPr>
          <w:p w14:paraId="49D2722B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&lt;=0</w:t>
            </w:r>
          </w:p>
        </w:tc>
        <w:tc>
          <w:tcPr>
            <w:tcW w:w="2372" w:type="dxa"/>
            <w:vAlign w:val="top"/>
          </w:tcPr>
          <w:p w14:paraId="1B5A3CB3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-20.37</w:t>
            </w:r>
          </w:p>
        </w:tc>
      </w:tr>
      <w:tr w14:paraId="622AAF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2773652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419" w:type="dxa"/>
            <w:vAlign w:val="top"/>
          </w:tcPr>
          <w:p w14:paraId="7631502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在职人员控制</w:t>
            </w:r>
          </w:p>
        </w:tc>
        <w:tc>
          <w:tcPr>
            <w:tcW w:w="1738" w:type="dxa"/>
            <w:vAlign w:val="top"/>
          </w:tcPr>
          <w:p w14:paraId="5B2C6988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在职人员控制率</w:t>
            </w:r>
          </w:p>
        </w:tc>
        <w:tc>
          <w:tcPr>
            <w:tcW w:w="1868" w:type="dxa"/>
            <w:vAlign w:val="top"/>
          </w:tcPr>
          <w:p w14:paraId="4938E627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在职人员占编制数比例</w:t>
            </w:r>
          </w:p>
        </w:tc>
        <w:tc>
          <w:tcPr>
            <w:tcW w:w="1088" w:type="dxa"/>
            <w:vAlign w:val="top"/>
          </w:tcPr>
          <w:p w14:paraId="4E93F3D4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&lt;=100%</w:t>
            </w:r>
          </w:p>
        </w:tc>
        <w:tc>
          <w:tcPr>
            <w:tcW w:w="2372" w:type="dxa"/>
            <w:vAlign w:val="top"/>
          </w:tcPr>
          <w:p w14:paraId="55575147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71.4%</w:t>
            </w:r>
          </w:p>
        </w:tc>
      </w:tr>
      <w:tr w14:paraId="483E18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2FF148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419" w:type="dxa"/>
            <w:vMerge w:val="restart"/>
            <w:tcBorders>
              <w:bottom w:val="nil"/>
            </w:tcBorders>
            <w:vAlign w:val="top"/>
          </w:tcPr>
          <w:p w14:paraId="0DD06CDD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75D009C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1DFE1469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项目支出成本 控制</w:t>
            </w:r>
          </w:p>
        </w:tc>
        <w:tc>
          <w:tcPr>
            <w:tcW w:w="1738" w:type="dxa"/>
            <w:vAlign w:val="top"/>
          </w:tcPr>
          <w:p w14:paraId="106F598D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会议费控制率</w:t>
            </w:r>
          </w:p>
        </w:tc>
        <w:tc>
          <w:tcPr>
            <w:tcW w:w="1868" w:type="dxa"/>
            <w:vAlign w:val="top"/>
          </w:tcPr>
          <w:p w14:paraId="0F12390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预决算差异率</w:t>
            </w:r>
          </w:p>
        </w:tc>
        <w:tc>
          <w:tcPr>
            <w:tcW w:w="1088" w:type="dxa"/>
            <w:vAlign w:val="top"/>
          </w:tcPr>
          <w:p w14:paraId="007F1D9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&lt;=0</w:t>
            </w:r>
          </w:p>
        </w:tc>
        <w:tc>
          <w:tcPr>
            <w:tcW w:w="2372" w:type="dxa"/>
            <w:vAlign w:val="top"/>
          </w:tcPr>
          <w:p w14:paraId="45E7088E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</w:tr>
      <w:tr w14:paraId="7FE051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E0A284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419" w:type="dxa"/>
            <w:vMerge w:val="continue"/>
            <w:tcBorders>
              <w:top w:val="nil"/>
              <w:bottom w:val="nil"/>
            </w:tcBorders>
            <w:vAlign w:val="top"/>
          </w:tcPr>
          <w:p w14:paraId="13ECAD7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738" w:type="dxa"/>
            <w:vAlign w:val="top"/>
          </w:tcPr>
          <w:p w14:paraId="101E9DC8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“三公经费</w:t>
            </w: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”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变动率</w:t>
            </w:r>
          </w:p>
        </w:tc>
        <w:tc>
          <w:tcPr>
            <w:tcW w:w="1868" w:type="dxa"/>
            <w:vAlign w:val="top"/>
          </w:tcPr>
          <w:p w14:paraId="7D4641D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预决算差异率</w:t>
            </w:r>
          </w:p>
        </w:tc>
        <w:tc>
          <w:tcPr>
            <w:tcW w:w="1088" w:type="dxa"/>
            <w:vAlign w:val="top"/>
          </w:tcPr>
          <w:p w14:paraId="02C99D1C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&lt;=0</w:t>
            </w:r>
          </w:p>
        </w:tc>
        <w:tc>
          <w:tcPr>
            <w:tcW w:w="2372" w:type="dxa"/>
            <w:vAlign w:val="top"/>
          </w:tcPr>
          <w:p w14:paraId="66D91D8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</w:tr>
      <w:tr w14:paraId="56DA52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2233BA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419" w:type="dxa"/>
            <w:vMerge w:val="restart"/>
            <w:tcBorders>
              <w:bottom w:val="nil"/>
            </w:tcBorders>
            <w:vAlign w:val="top"/>
          </w:tcPr>
          <w:p w14:paraId="21B70B0C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626DCE1D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战略管理</w:t>
            </w:r>
          </w:p>
        </w:tc>
        <w:tc>
          <w:tcPr>
            <w:tcW w:w="1738" w:type="dxa"/>
            <w:vAlign w:val="top"/>
          </w:tcPr>
          <w:p w14:paraId="69497C3E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中长期规划相符性</w:t>
            </w:r>
          </w:p>
        </w:tc>
        <w:tc>
          <w:tcPr>
            <w:tcW w:w="1868" w:type="dxa"/>
            <w:vAlign w:val="top"/>
          </w:tcPr>
          <w:p w14:paraId="2810D895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与汉阳区教育战略发展的相符性</w:t>
            </w:r>
          </w:p>
        </w:tc>
        <w:tc>
          <w:tcPr>
            <w:tcW w:w="1088" w:type="dxa"/>
            <w:vAlign w:val="top"/>
          </w:tcPr>
          <w:p w14:paraId="48D76F8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符合</w:t>
            </w:r>
          </w:p>
        </w:tc>
        <w:tc>
          <w:tcPr>
            <w:tcW w:w="2372" w:type="dxa"/>
            <w:vAlign w:val="top"/>
          </w:tcPr>
          <w:p w14:paraId="3F409A8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符合</w:t>
            </w:r>
          </w:p>
        </w:tc>
      </w:tr>
      <w:tr w14:paraId="3B17E0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A47242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  <w:vAlign w:val="top"/>
          </w:tcPr>
          <w:p w14:paraId="24C6B4A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738" w:type="dxa"/>
            <w:vAlign w:val="top"/>
          </w:tcPr>
          <w:p w14:paraId="63C5968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工作计划健全性</w:t>
            </w:r>
          </w:p>
        </w:tc>
        <w:tc>
          <w:tcPr>
            <w:tcW w:w="1868" w:type="dxa"/>
            <w:vAlign w:val="top"/>
          </w:tcPr>
          <w:p w14:paraId="70EA8BA4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汉阳区教育事业发展“十四五”规划的健全性</w:t>
            </w:r>
          </w:p>
        </w:tc>
        <w:tc>
          <w:tcPr>
            <w:tcW w:w="1088" w:type="dxa"/>
            <w:vAlign w:val="top"/>
          </w:tcPr>
          <w:p w14:paraId="671B218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健全</w:t>
            </w:r>
          </w:p>
        </w:tc>
        <w:tc>
          <w:tcPr>
            <w:tcW w:w="2372" w:type="dxa"/>
            <w:vAlign w:val="top"/>
          </w:tcPr>
          <w:p w14:paraId="39BCFA2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健全</w:t>
            </w:r>
          </w:p>
        </w:tc>
      </w:tr>
      <w:tr w14:paraId="176E18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F72D08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419" w:type="dxa"/>
            <w:vMerge w:val="restart"/>
            <w:tcBorders>
              <w:bottom w:val="nil"/>
            </w:tcBorders>
            <w:vAlign w:val="top"/>
          </w:tcPr>
          <w:p w14:paraId="1ACAE618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5B31AE0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623B284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18A52F26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预算编制</w:t>
            </w:r>
          </w:p>
        </w:tc>
        <w:tc>
          <w:tcPr>
            <w:tcW w:w="1738" w:type="dxa"/>
            <w:vAlign w:val="top"/>
          </w:tcPr>
          <w:p w14:paraId="10A5B27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预算编制科学性</w:t>
            </w:r>
          </w:p>
        </w:tc>
        <w:tc>
          <w:tcPr>
            <w:tcW w:w="1868" w:type="dxa"/>
            <w:vAlign w:val="top"/>
          </w:tcPr>
          <w:p w14:paraId="6AF8AE80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满足教育系统全年运行及工作需求</w:t>
            </w:r>
          </w:p>
        </w:tc>
        <w:tc>
          <w:tcPr>
            <w:tcW w:w="1088" w:type="dxa"/>
            <w:vAlign w:val="top"/>
          </w:tcPr>
          <w:p w14:paraId="20F40972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满足</w:t>
            </w:r>
          </w:p>
        </w:tc>
        <w:tc>
          <w:tcPr>
            <w:tcW w:w="2372" w:type="dxa"/>
            <w:vAlign w:val="top"/>
          </w:tcPr>
          <w:p w14:paraId="0274C57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满足</w:t>
            </w:r>
          </w:p>
        </w:tc>
      </w:tr>
      <w:tr w14:paraId="1AC94D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8CEB88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419" w:type="dxa"/>
            <w:vMerge w:val="continue"/>
            <w:tcBorders>
              <w:top w:val="nil"/>
              <w:bottom w:val="nil"/>
            </w:tcBorders>
            <w:vAlign w:val="top"/>
          </w:tcPr>
          <w:p w14:paraId="59FCC2FD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738" w:type="dxa"/>
            <w:vAlign w:val="top"/>
          </w:tcPr>
          <w:p w14:paraId="266CA40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预算编制合理性</w:t>
            </w:r>
          </w:p>
        </w:tc>
        <w:tc>
          <w:tcPr>
            <w:tcW w:w="1868" w:type="dxa"/>
            <w:vAlign w:val="top"/>
          </w:tcPr>
          <w:p w14:paraId="5B538C24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预算执行的有效性</w:t>
            </w:r>
          </w:p>
        </w:tc>
        <w:tc>
          <w:tcPr>
            <w:tcW w:w="1088" w:type="dxa"/>
            <w:vAlign w:val="top"/>
          </w:tcPr>
          <w:p w14:paraId="243C091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有效</w:t>
            </w:r>
          </w:p>
        </w:tc>
        <w:tc>
          <w:tcPr>
            <w:tcW w:w="2372" w:type="dxa"/>
            <w:vAlign w:val="top"/>
          </w:tcPr>
          <w:p w14:paraId="6F94CB99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6D7AFC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7D56ACC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419" w:type="dxa"/>
            <w:vMerge w:val="continue"/>
            <w:tcBorders>
              <w:top w:val="nil"/>
              <w:bottom w:val="nil"/>
            </w:tcBorders>
            <w:vAlign w:val="top"/>
          </w:tcPr>
          <w:p w14:paraId="03CEF0C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738" w:type="dxa"/>
            <w:vAlign w:val="top"/>
          </w:tcPr>
          <w:p w14:paraId="25706E4C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立项规范性</w:t>
            </w:r>
          </w:p>
        </w:tc>
        <w:tc>
          <w:tcPr>
            <w:tcW w:w="1868" w:type="dxa"/>
            <w:vAlign w:val="top"/>
          </w:tcPr>
          <w:p w14:paraId="3975DE17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项目经费立项的充分性</w:t>
            </w:r>
          </w:p>
        </w:tc>
        <w:tc>
          <w:tcPr>
            <w:tcW w:w="1088" w:type="dxa"/>
            <w:vAlign w:val="top"/>
          </w:tcPr>
          <w:p w14:paraId="02D403DE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充分</w:t>
            </w:r>
          </w:p>
        </w:tc>
        <w:tc>
          <w:tcPr>
            <w:tcW w:w="2372" w:type="dxa"/>
            <w:vAlign w:val="top"/>
          </w:tcPr>
          <w:p w14:paraId="5D023BF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充分</w:t>
            </w:r>
          </w:p>
        </w:tc>
      </w:tr>
      <w:tr w14:paraId="732C8F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5C1E6F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  <w:vAlign w:val="top"/>
          </w:tcPr>
          <w:p w14:paraId="2142505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738" w:type="dxa"/>
            <w:vAlign w:val="top"/>
          </w:tcPr>
          <w:p w14:paraId="6F4B8AE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预算调整率</w:t>
            </w:r>
          </w:p>
        </w:tc>
        <w:tc>
          <w:tcPr>
            <w:tcW w:w="1868" w:type="dxa"/>
            <w:vAlign w:val="top"/>
          </w:tcPr>
          <w:p w14:paraId="0C76E9EA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一般公共预算财政拨款收入调整率</w:t>
            </w:r>
          </w:p>
        </w:tc>
        <w:tc>
          <w:tcPr>
            <w:tcW w:w="1088" w:type="dxa"/>
            <w:vAlign w:val="top"/>
          </w:tcPr>
          <w:p w14:paraId="2CDEAD9E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&lt;=20%</w:t>
            </w:r>
          </w:p>
        </w:tc>
        <w:tc>
          <w:tcPr>
            <w:tcW w:w="2372" w:type="dxa"/>
            <w:vAlign w:val="top"/>
          </w:tcPr>
          <w:p w14:paraId="556B6B03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9.37%</w:t>
            </w:r>
          </w:p>
        </w:tc>
      </w:tr>
      <w:tr w14:paraId="45FD04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A57690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419" w:type="dxa"/>
            <w:vMerge w:val="restart"/>
            <w:tcBorders>
              <w:bottom w:val="nil"/>
            </w:tcBorders>
            <w:vAlign w:val="top"/>
          </w:tcPr>
          <w:p w14:paraId="02FCE53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612687D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143BBBA9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52E429B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预算执行</w:t>
            </w:r>
          </w:p>
        </w:tc>
        <w:tc>
          <w:tcPr>
            <w:tcW w:w="1738" w:type="dxa"/>
            <w:vAlign w:val="top"/>
          </w:tcPr>
          <w:p w14:paraId="3198DA86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预算执行率</w:t>
            </w:r>
          </w:p>
        </w:tc>
        <w:tc>
          <w:tcPr>
            <w:tcW w:w="1868" w:type="dxa"/>
            <w:vAlign w:val="top"/>
          </w:tcPr>
          <w:p w14:paraId="1986BEC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一般公共预算财政拨款执行率</w:t>
            </w:r>
          </w:p>
        </w:tc>
        <w:tc>
          <w:tcPr>
            <w:tcW w:w="1088" w:type="dxa"/>
            <w:vAlign w:val="top"/>
          </w:tcPr>
          <w:p w14:paraId="6948AF3D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&gt;=80%</w:t>
            </w:r>
          </w:p>
        </w:tc>
        <w:tc>
          <w:tcPr>
            <w:tcW w:w="2372" w:type="dxa"/>
            <w:vAlign w:val="top"/>
          </w:tcPr>
          <w:p w14:paraId="3E7798AF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96.21%</w:t>
            </w:r>
          </w:p>
        </w:tc>
      </w:tr>
      <w:tr w14:paraId="4ACC31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35A938D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419" w:type="dxa"/>
            <w:vMerge w:val="continue"/>
            <w:tcBorders>
              <w:top w:val="nil"/>
              <w:bottom w:val="nil"/>
            </w:tcBorders>
            <w:vAlign w:val="top"/>
          </w:tcPr>
          <w:p w14:paraId="3C82720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738" w:type="dxa"/>
            <w:vAlign w:val="top"/>
          </w:tcPr>
          <w:p w14:paraId="2432D67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结转结余率</w:t>
            </w:r>
          </w:p>
        </w:tc>
        <w:tc>
          <w:tcPr>
            <w:tcW w:w="1868" w:type="dxa"/>
            <w:vAlign w:val="top"/>
          </w:tcPr>
          <w:p w14:paraId="486A26A2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财政拨款结转和结余率</w:t>
            </w:r>
          </w:p>
        </w:tc>
        <w:tc>
          <w:tcPr>
            <w:tcW w:w="1088" w:type="dxa"/>
            <w:vAlign w:val="top"/>
          </w:tcPr>
          <w:p w14:paraId="562A08F9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&lt;=20%</w:t>
            </w:r>
          </w:p>
        </w:tc>
        <w:tc>
          <w:tcPr>
            <w:tcW w:w="2372" w:type="dxa"/>
            <w:vAlign w:val="top"/>
          </w:tcPr>
          <w:p w14:paraId="48802D0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</w:tr>
      <w:tr w14:paraId="211926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AF3C62C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419" w:type="dxa"/>
            <w:vMerge w:val="continue"/>
            <w:tcBorders>
              <w:top w:val="nil"/>
              <w:bottom w:val="nil"/>
            </w:tcBorders>
            <w:vAlign w:val="top"/>
          </w:tcPr>
          <w:p w14:paraId="04862BE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738" w:type="dxa"/>
            <w:vAlign w:val="top"/>
          </w:tcPr>
          <w:p w14:paraId="2EEC00CC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政府采购执行率</w:t>
            </w:r>
          </w:p>
        </w:tc>
        <w:tc>
          <w:tcPr>
            <w:tcW w:w="1868" w:type="dxa"/>
            <w:vAlign w:val="top"/>
          </w:tcPr>
          <w:p w14:paraId="38F37D5A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完成全年政府采购的工作目标</w:t>
            </w:r>
          </w:p>
        </w:tc>
        <w:tc>
          <w:tcPr>
            <w:tcW w:w="1088" w:type="dxa"/>
            <w:vAlign w:val="top"/>
          </w:tcPr>
          <w:p w14:paraId="1964859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</w:t>
            </w:r>
          </w:p>
        </w:tc>
        <w:tc>
          <w:tcPr>
            <w:tcW w:w="2372" w:type="dxa"/>
            <w:vAlign w:val="top"/>
          </w:tcPr>
          <w:p w14:paraId="651D77B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</w:t>
            </w:r>
          </w:p>
        </w:tc>
      </w:tr>
      <w:tr w14:paraId="294DC4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744" w:type="dxa"/>
            <w:vMerge w:val="continue"/>
            <w:tcBorders>
              <w:top w:val="nil"/>
            </w:tcBorders>
            <w:textDirection w:val="tbRlV"/>
            <w:vAlign w:val="top"/>
          </w:tcPr>
          <w:p w14:paraId="1E4DBFD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419" w:type="dxa"/>
            <w:vMerge w:val="continue"/>
            <w:tcBorders>
              <w:top w:val="nil"/>
            </w:tcBorders>
            <w:vAlign w:val="top"/>
          </w:tcPr>
          <w:p w14:paraId="5AAC5E2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738" w:type="dxa"/>
            <w:vAlign w:val="top"/>
          </w:tcPr>
          <w:p w14:paraId="147A8D0E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非税收入预算完成率</w:t>
            </w:r>
          </w:p>
        </w:tc>
        <w:tc>
          <w:tcPr>
            <w:tcW w:w="1868" w:type="dxa"/>
            <w:vAlign w:val="top"/>
          </w:tcPr>
          <w:p w14:paraId="171D161D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已缴财政专户金额/年初预算数</w:t>
            </w:r>
          </w:p>
        </w:tc>
        <w:tc>
          <w:tcPr>
            <w:tcW w:w="1088" w:type="dxa"/>
            <w:vAlign w:val="top"/>
          </w:tcPr>
          <w:p w14:paraId="3398DF2B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&gt;=90%</w:t>
            </w:r>
          </w:p>
        </w:tc>
        <w:tc>
          <w:tcPr>
            <w:tcW w:w="2372" w:type="dxa"/>
            <w:vAlign w:val="top"/>
          </w:tcPr>
          <w:p w14:paraId="278459C7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98.47%</w:t>
            </w:r>
          </w:p>
        </w:tc>
      </w:tr>
    </w:tbl>
    <w:p w14:paraId="6286DE58">
      <w:pPr>
        <w:jc w:val="center"/>
        <w:textAlignment w:val="center"/>
        <w:rPr>
          <w:rFonts w:hint="eastAsia" w:ascii="仿宋" w:hAnsi="仿宋" w:eastAsia="仿宋" w:cs="仿宋"/>
          <w:sz w:val="21"/>
          <w:szCs w:val="21"/>
          <w:lang w:val="en-US" w:eastAsia="zh-CN"/>
        </w:rPr>
        <w:sectPr>
          <w:footerReference r:id="rId5" w:type="default"/>
          <w:pgSz w:w="11850" w:h="16780"/>
          <w:pgMar w:top="1426" w:right="1565" w:bottom="1345" w:left="1045" w:header="0" w:footer="1138" w:gutter="0"/>
          <w:pgNumType w:fmt="decimal"/>
          <w:cols w:space="720" w:num="1"/>
        </w:sectPr>
      </w:pPr>
    </w:p>
    <w:p w14:paraId="4E702816">
      <w:pPr>
        <w:jc w:val="center"/>
        <w:textAlignment w:val="center"/>
        <w:rPr>
          <w:rFonts w:hint="eastAsia" w:ascii="仿宋" w:hAnsi="仿宋" w:eastAsia="仿宋" w:cs="仿宋"/>
          <w:sz w:val="21"/>
          <w:szCs w:val="21"/>
          <w:lang w:val="en-US" w:eastAsia="zh-CN"/>
        </w:rPr>
      </w:pPr>
    </w:p>
    <w:p w14:paraId="4E3D5F0D">
      <w:pPr>
        <w:jc w:val="center"/>
        <w:textAlignment w:val="center"/>
        <w:rPr>
          <w:rFonts w:hint="eastAsia" w:ascii="仿宋" w:hAnsi="仿宋" w:eastAsia="仿宋" w:cs="仿宋"/>
          <w:sz w:val="21"/>
          <w:szCs w:val="21"/>
          <w:lang w:val="en-US" w:eastAsia="zh-CN"/>
        </w:rPr>
      </w:pPr>
    </w:p>
    <w:tbl>
      <w:tblPr>
        <w:tblStyle w:val="4"/>
        <w:tblW w:w="92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579"/>
        <w:gridCol w:w="1539"/>
        <w:gridCol w:w="1818"/>
        <w:gridCol w:w="1668"/>
        <w:gridCol w:w="2582"/>
      </w:tblGrid>
      <w:tr w14:paraId="0AF84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34" w:type="dxa"/>
            <w:vMerge w:val="restart"/>
            <w:tcBorders>
              <w:bottom w:val="nil"/>
            </w:tcBorders>
            <w:vAlign w:val="top"/>
          </w:tcPr>
          <w:p w14:paraId="2F44A21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restart"/>
            <w:tcBorders>
              <w:bottom w:val="nil"/>
            </w:tcBorders>
            <w:vAlign w:val="top"/>
          </w:tcPr>
          <w:p w14:paraId="4927691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539" w:type="dxa"/>
            <w:vMerge w:val="restart"/>
            <w:tcBorders>
              <w:bottom w:val="nil"/>
            </w:tcBorders>
            <w:vAlign w:val="top"/>
          </w:tcPr>
          <w:p w14:paraId="0E927DF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703E42C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0EFC04D8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7F76F3A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65F94FB8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4FA16C6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绩效管理</w:t>
            </w:r>
          </w:p>
        </w:tc>
        <w:tc>
          <w:tcPr>
            <w:tcW w:w="1818" w:type="dxa"/>
            <w:vAlign w:val="top"/>
          </w:tcPr>
          <w:p w14:paraId="2C137248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事前绩效评估完成率</w:t>
            </w:r>
          </w:p>
        </w:tc>
        <w:tc>
          <w:tcPr>
            <w:tcW w:w="1668" w:type="dxa"/>
            <w:vAlign w:val="top"/>
          </w:tcPr>
          <w:p w14:paraId="51DD816D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</w:t>
            </w:r>
          </w:p>
        </w:tc>
        <w:tc>
          <w:tcPr>
            <w:tcW w:w="2582" w:type="dxa"/>
            <w:vAlign w:val="top"/>
          </w:tcPr>
          <w:p w14:paraId="5DB4630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</w:t>
            </w:r>
          </w:p>
        </w:tc>
      </w:tr>
      <w:tr w14:paraId="06F661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6DD08E3D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4B5D22EC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539" w:type="dxa"/>
            <w:vMerge w:val="continue"/>
            <w:tcBorders>
              <w:top w:val="nil"/>
              <w:bottom w:val="nil"/>
            </w:tcBorders>
            <w:vAlign w:val="top"/>
          </w:tcPr>
          <w:p w14:paraId="5208395D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818" w:type="dxa"/>
            <w:vAlign w:val="top"/>
          </w:tcPr>
          <w:p w14:paraId="2C5D6D1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绩效目标合理性</w:t>
            </w:r>
          </w:p>
        </w:tc>
        <w:tc>
          <w:tcPr>
            <w:tcW w:w="1668" w:type="dxa"/>
            <w:vAlign w:val="top"/>
          </w:tcPr>
          <w:p w14:paraId="1DC4FE7E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基本合理</w:t>
            </w:r>
          </w:p>
        </w:tc>
        <w:tc>
          <w:tcPr>
            <w:tcW w:w="2582" w:type="dxa"/>
            <w:vAlign w:val="top"/>
          </w:tcPr>
          <w:p w14:paraId="78BCB29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合理</w:t>
            </w:r>
          </w:p>
        </w:tc>
      </w:tr>
      <w:tr w14:paraId="4F7FB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2B4950C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3278DAEE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539" w:type="dxa"/>
            <w:vMerge w:val="continue"/>
            <w:tcBorders>
              <w:top w:val="nil"/>
              <w:bottom w:val="nil"/>
            </w:tcBorders>
            <w:vAlign w:val="top"/>
          </w:tcPr>
          <w:p w14:paraId="4367D896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818" w:type="dxa"/>
            <w:vAlign w:val="top"/>
          </w:tcPr>
          <w:p w14:paraId="4178F27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绩效监控开展率</w:t>
            </w:r>
          </w:p>
        </w:tc>
        <w:tc>
          <w:tcPr>
            <w:tcW w:w="1668" w:type="dxa"/>
            <w:vAlign w:val="top"/>
          </w:tcPr>
          <w:p w14:paraId="6ABC6298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开展</w:t>
            </w:r>
          </w:p>
        </w:tc>
        <w:tc>
          <w:tcPr>
            <w:tcW w:w="2582" w:type="dxa"/>
            <w:vAlign w:val="top"/>
          </w:tcPr>
          <w:p w14:paraId="224BE70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开展</w:t>
            </w:r>
          </w:p>
        </w:tc>
      </w:tr>
      <w:tr w14:paraId="6A40E8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7BD6273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44E303AD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539" w:type="dxa"/>
            <w:vMerge w:val="continue"/>
            <w:tcBorders>
              <w:top w:val="nil"/>
              <w:bottom w:val="nil"/>
            </w:tcBorders>
            <w:vAlign w:val="top"/>
          </w:tcPr>
          <w:p w14:paraId="48DC430E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818" w:type="dxa"/>
            <w:vAlign w:val="top"/>
          </w:tcPr>
          <w:p w14:paraId="73C57D0C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绩效评价覆盖率</w:t>
            </w:r>
          </w:p>
        </w:tc>
        <w:tc>
          <w:tcPr>
            <w:tcW w:w="1668" w:type="dxa"/>
            <w:vAlign w:val="top"/>
          </w:tcPr>
          <w:p w14:paraId="500DC860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2582" w:type="dxa"/>
            <w:vAlign w:val="top"/>
          </w:tcPr>
          <w:p w14:paraId="5356996D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100%</w:t>
            </w:r>
          </w:p>
        </w:tc>
      </w:tr>
      <w:tr w14:paraId="00AEFF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13DF5E9C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2F2D04B9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539" w:type="dxa"/>
            <w:vMerge w:val="continue"/>
            <w:tcBorders>
              <w:top w:val="nil"/>
            </w:tcBorders>
            <w:vAlign w:val="top"/>
          </w:tcPr>
          <w:p w14:paraId="169C757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818" w:type="dxa"/>
            <w:vAlign w:val="top"/>
          </w:tcPr>
          <w:p w14:paraId="3AD54E2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评价结果应用率</w:t>
            </w:r>
          </w:p>
        </w:tc>
        <w:tc>
          <w:tcPr>
            <w:tcW w:w="1668" w:type="dxa"/>
            <w:vAlign w:val="top"/>
          </w:tcPr>
          <w:p w14:paraId="1C8E1829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优化2025年预算项目编制</w:t>
            </w:r>
          </w:p>
        </w:tc>
        <w:tc>
          <w:tcPr>
            <w:tcW w:w="2582" w:type="dxa"/>
            <w:vAlign w:val="top"/>
          </w:tcPr>
          <w:p w14:paraId="6F14CAD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已优化</w:t>
            </w:r>
          </w:p>
        </w:tc>
      </w:tr>
      <w:tr w14:paraId="213A70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7CCF5A7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2A6D98B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539" w:type="dxa"/>
            <w:vMerge w:val="restart"/>
            <w:tcBorders>
              <w:bottom w:val="nil"/>
            </w:tcBorders>
            <w:vAlign w:val="top"/>
          </w:tcPr>
          <w:p w14:paraId="0E4035D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36F183B6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资产管理</w:t>
            </w:r>
          </w:p>
        </w:tc>
        <w:tc>
          <w:tcPr>
            <w:tcW w:w="1818" w:type="dxa"/>
            <w:vAlign w:val="top"/>
          </w:tcPr>
          <w:p w14:paraId="6E0C20E6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资产管理制度健全性</w:t>
            </w:r>
          </w:p>
        </w:tc>
        <w:tc>
          <w:tcPr>
            <w:tcW w:w="1668" w:type="dxa"/>
            <w:vAlign w:val="top"/>
          </w:tcPr>
          <w:p w14:paraId="68FBFBD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健全</w:t>
            </w:r>
          </w:p>
        </w:tc>
        <w:tc>
          <w:tcPr>
            <w:tcW w:w="2582" w:type="dxa"/>
            <w:vAlign w:val="top"/>
          </w:tcPr>
          <w:p w14:paraId="61C05FA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健全</w:t>
            </w:r>
          </w:p>
        </w:tc>
      </w:tr>
      <w:tr w14:paraId="4FEB9E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1338D43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5367D66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539" w:type="dxa"/>
            <w:vMerge w:val="continue"/>
            <w:tcBorders>
              <w:top w:val="nil"/>
            </w:tcBorders>
            <w:vAlign w:val="top"/>
          </w:tcPr>
          <w:p w14:paraId="75459FA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818" w:type="dxa"/>
            <w:vAlign w:val="top"/>
          </w:tcPr>
          <w:p w14:paraId="7D83780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资产管理规范性</w:t>
            </w:r>
          </w:p>
        </w:tc>
        <w:tc>
          <w:tcPr>
            <w:tcW w:w="1668" w:type="dxa"/>
            <w:vAlign w:val="top"/>
          </w:tcPr>
          <w:p w14:paraId="550D2ECD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规范</w:t>
            </w:r>
          </w:p>
        </w:tc>
        <w:tc>
          <w:tcPr>
            <w:tcW w:w="2582" w:type="dxa"/>
            <w:vAlign w:val="top"/>
          </w:tcPr>
          <w:p w14:paraId="1C660D5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规范</w:t>
            </w:r>
          </w:p>
        </w:tc>
      </w:tr>
      <w:tr w14:paraId="4D8C6B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12813F9D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2EBCC488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539" w:type="dxa"/>
            <w:vMerge w:val="restart"/>
            <w:tcBorders>
              <w:bottom w:val="nil"/>
            </w:tcBorders>
            <w:vAlign w:val="top"/>
          </w:tcPr>
          <w:p w14:paraId="6B8FF6E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553FA2F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3116C2C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财务管理</w:t>
            </w:r>
          </w:p>
        </w:tc>
        <w:tc>
          <w:tcPr>
            <w:tcW w:w="1818" w:type="dxa"/>
            <w:vAlign w:val="top"/>
          </w:tcPr>
          <w:p w14:paraId="6AD4FE4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财务管理制度健全性</w:t>
            </w:r>
          </w:p>
        </w:tc>
        <w:tc>
          <w:tcPr>
            <w:tcW w:w="1668" w:type="dxa"/>
            <w:vAlign w:val="top"/>
          </w:tcPr>
          <w:p w14:paraId="230B7D2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健全</w:t>
            </w:r>
          </w:p>
        </w:tc>
        <w:tc>
          <w:tcPr>
            <w:tcW w:w="2582" w:type="dxa"/>
            <w:vAlign w:val="top"/>
          </w:tcPr>
          <w:p w14:paraId="58D341B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健全</w:t>
            </w:r>
          </w:p>
        </w:tc>
      </w:tr>
      <w:tr w14:paraId="30E543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047B326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39AA7EE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539" w:type="dxa"/>
            <w:vMerge w:val="continue"/>
            <w:tcBorders>
              <w:top w:val="nil"/>
              <w:bottom w:val="nil"/>
            </w:tcBorders>
            <w:vAlign w:val="top"/>
          </w:tcPr>
          <w:p w14:paraId="28BE801E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818" w:type="dxa"/>
            <w:vAlign w:val="top"/>
          </w:tcPr>
          <w:p w14:paraId="17D3F679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会计核算规范性</w:t>
            </w:r>
          </w:p>
        </w:tc>
        <w:tc>
          <w:tcPr>
            <w:tcW w:w="1668" w:type="dxa"/>
            <w:vAlign w:val="top"/>
          </w:tcPr>
          <w:p w14:paraId="003505D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规范</w:t>
            </w:r>
          </w:p>
        </w:tc>
        <w:tc>
          <w:tcPr>
            <w:tcW w:w="2582" w:type="dxa"/>
            <w:vAlign w:val="top"/>
          </w:tcPr>
          <w:p w14:paraId="6681367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规范</w:t>
            </w:r>
          </w:p>
        </w:tc>
      </w:tr>
      <w:tr w14:paraId="77AB2C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2674105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continue"/>
            <w:tcBorders>
              <w:top w:val="nil"/>
            </w:tcBorders>
            <w:vAlign w:val="top"/>
          </w:tcPr>
          <w:p w14:paraId="2317CE8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539" w:type="dxa"/>
            <w:vMerge w:val="continue"/>
            <w:tcBorders>
              <w:top w:val="nil"/>
            </w:tcBorders>
            <w:vAlign w:val="top"/>
          </w:tcPr>
          <w:p w14:paraId="7D793C9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818" w:type="dxa"/>
            <w:vAlign w:val="top"/>
          </w:tcPr>
          <w:p w14:paraId="67D05C9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资金使用合规性</w:t>
            </w:r>
          </w:p>
        </w:tc>
        <w:tc>
          <w:tcPr>
            <w:tcW w:w="1668" w:type="dxa"/>
            <w:vAlign w:val="top"/>
          </w:tcPr>
          <w:p w14:paraId="5E915ED9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合规</w:t>
            </w:r>
          </w:p>
        </w:tc>
        <w:tc>
          <w:tcPr>
            <w:tcW w:w="2582" w:type="dxa"/>
            <w:vAlign w:val="top"/>
          </w:tcPr>
          <w:p w14:paraId="66008D1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合规</w:t>
            </w:r>
          </w:p>
        </w:tc>
      </w:tr>
      <w:tr w14:paraId="4D7F02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09166EB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restart"/>
            <w:tcBorders>
              <w:bottom w:val="nil"/>
            </w:tcBorders>
            <w:vAlign w:val="top"/>
          </w:tcPr>
          <w:p w14:paraId="10C3688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22F4D659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履职 效能</w:t>
            </w:r>
          </w:p>
        </w:tc>
        <w:tc>
          <w:tcPr>
            <w:tcW w:w="1539" w:type="dxa"/>
            <w:vAlign w:val="top"/>
          </w:tcPr>
          <w:p w14:paraId="561B26C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核心业务产出1</w:t>
            </w:r>
          </w:p>
        </w:tc>
        <w:tc>
          <w:tcPr>
            <w:tcW w:w="1818" w:type="dxa"/>
            <w:vAlign w:val="top"/>
          </w:tcPr>
          <w:p w14:paraId="539E9EC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燎原高中、磨山小学、芳草小学北校区建成使用，加快玫瑰园小学、二桥中学（知音校区）改扩建。</w:t>
            </w:r>
          </w:p>
        </w:tc>
        <w:tc>
          <w:tcPr>
            <w:tcW w:w="1668" w:type="dxa"/>
            <w:vAlign w:val="top"/>
          </w:tcPr>
          <w:p w14:paraId="49004F54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完成年度目标</w:t>
            </w:r>
          </w:p>
        </w:tc>
        <w:tc>
          <w:tcPr>
            <w:tcW w:w="2582" w:type="dxa"/>
            <w:vAlign w:val="top"/>
          </w:tcPr>
          <w:p w14:paraId="1DCD6B24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完成年度目标</w:t>
            </w:r>
          </w:p>
        </w:tc>
      </w:tr>
      <w:tr w14:paraId="6E1C0D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617063A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40465CDD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539" w:type="dxa"/>
            <w:vAlign w:val="top"/>
          </w:tcPr>
          <w:p w14:paraId="74E2301D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核心业务产出2</w:t>
            </w:r>
          </w:p>
        </w:tc>
        <w:tc>
          <w:tcPr>
            <w:tcW w:w="1818" w:type="dxa"/>
            <w:vAlign w:val="top"/>
          </w:tcPr>
          <w:p w14:paraId="53ACC10D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进一步更新教育理念。以改革创新为突破口，全面促进汉阳教育提质增效。</w:t>
            </w:r>
          </w:p>
        </w:tc>
        <w:tc>
          <w:tcPr>
            <w:tcW w:w="1668" w:type="dxa"/>
            <w:vAlign w:val="top"/>
          </w:tcPr>
          <w:p w14:paraId="5B1CF92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完成年度目标</w:t>
            </w:r>
          </w:p>
        </w:tc>
        <w:tc>
          <w:tcPr>
            <w:tcW w:w="2582" w:type="dxa"/>
            <w:vAlign w:val="top"/>
          </w:tcPr>
          <w:p w14:paraId="0160FDF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完成年度目标</w:t>
            </w:r>
          </w:p>
        </w:tc>
      </w:tr>
      <w:tr w14:paraId="7C1FAF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45C1A68E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continue"/>
            <w:tcBorders>
              <w:top w:val="nil"/>
            </w:tcBorders>
            <w:vAlign w:val="top"/>
          </w:tcPr>
          <w:p w14:paraId="4F6313F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539" w:type="dxa"/>
            <w:vAlign w:val="top"/>
          </w:tcPr>
          <w:p w14:paraId="000888B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核心业务产出3</w:t>
            </w:r>
          </w:p>
        </w:tc>
        <w:tc>
          <w:tcPr>
            <w:tcW w:w="1818" w:type="dxa"/>
            <w:vAlign w:val="top"/>
          </w:tcPr>
          <w:p w14:paraId="4D6F86A6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进一步打造优秀队伍。聚焦教师素养整体提升，打造一批专家领衔的研究实践团队、基地、工作室和项目校，培养一批学科领军人物和专业组织，构建最优教师成长生态</w:t>
            </w:r>
          </w:p>
        </w:tc>
        <w:tc>
          <w:tcPr>
            <w:tcW w:w="1668" w:type="dxa"/>
            <w:vAlign w:val="top"/>
          </w:tcPr>
          <w:p w14:paraId="0726463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完成年度目标</w:t>
            </w:r>
          </w:p>
        </w:tc>
        <w:tc>
          <w:tcPr>
            <w:tcW w:w="2582" w:type="dxa"/>
            <w:vAlign w:val="top"/>
          </w:tcPr>
          <w:p w14:paraId="7B8888FC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完成年度目标</w:t>
            </w:r>
          </w:p>
        </w:tc>
      </w:tr>
      <w:tr w14:paraId="5B47D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112CEA6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restart"/>
            <w:tcBorders>
              <w:bottom w:val="nil"/>
            </w:tcBorders>
            <w:vAlign w:val="top"/>
          </w:tcPr>
          <w:p w14:paraId="4B2E380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5A381949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社会 效应</w:t>
            </w:r>
          </w:p>
        </w:tc>
        <w:tc>
          <w:tcPr>
            <w:tcW w:w="1539" w:type="dxa"/>
            <w:vAlign w:val="top"/>
          </w:tcPr>
          <w:p w14:paraId="36CF2A89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经济效益</w:t>
            </w:r>
          </w:p>
        </w:tc>
        <w:tc>
          <w:tcPr>
            <w:tcW w:w="1818" w:type="dxa"/>
            <w:vAlign w:val="top"/>
          </w:tcPr>
          <w:p w14:paraId="3ABCB59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优质的汉阳教育水平成为汉阳区的招商“明信片”</w:t>
            </w:r>
          </w:p>
        </w:tc>
        <w:tc>
          <w:tcPr>
            <w:tcW w:w="1668" w:type="dxa"/>
            <w:vAlign w:val="top"/>
          </w:tcPr>
          <w:p w14:paraId="027C42F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完成年度目标</w:t>
            </w:r>
          </w:p>
        </w:tc>
        <w:tc>
          <w:tcPr>
            <w:tcW w:w="2582" w:type="dxa"/>
            <w:vAlign w:val="top"/>
          </w:tcPr>
          <w:p w14:paraId="02B382E9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完成年度目标</w:t>
            </w:r>
          </w:p>
        </w:tc>
      </w:tr>
      <w:tr w14:paraId="327C72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65F3FC2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485029A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539" w:type="dxa"/>
            <w:vAlign w:val="top"/>
          </w:tcPr>
          <w:p w14:paraId="1F4B01B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社会效益</w:t>
            </w:r>
          </w:p>
        </w:tc>
        <w:tc>
          <w:tcPr>
            <w:tcW w:w="1818" w:type="dxa"/>
            <w:vAlign w:val="top"/>
          </w:tcPr>
          <w:p w14:paraId="30F2E23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满足汉阳区学位供给要求</w:t>
            </w:r>
          </w:p>
        </w:tc>
        <w:tc>
          <w:tcPr>
            <w:tcW w:w="1668" w:type="dxa"/>
            <w:shd w:val="clear" w:color="auto" w:fill="auto"/>
            <w:vAlign w:val="center"/>
          </w:tcPr>
          <w:p w14:paraId="7C4A5F8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适龄儿童顺利入学</w:t>
            </w:r>
          </w:p>
        </w:tc>
        <w:tc>
          <w:tcPr>
            <w:tcW w:w="2582" w:type="dxa"/>
            <w:shd w:val="clear" w:color="auto" w:fill="auto"/>
            <w:vAlign w:val="center"/>
          </w:tcPr>
          <w:p w14:paraId="7FA226D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适龄儿童顺利入学</w:t>
            </w:r>
          </w:p>
        </w:tc>
      </w:tr>
      <w:tr w14:paraId="070154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2D09C6E6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continue"/>
            <w:tcBorders>
              <w:top w:val="nil"/>
            </w:tcBorders>
            <w:vAlign w:val="top"/>
          </w:tcPr>
          <w:p w14:paraId="0F50B8A2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539" w:type="dxa"/>
            <w:vAlign w:val="top"/>
          </w:tcPr>
          <w:p w14:paraId="58F316D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生态效益</w:t>
            </w:r>
          </w:p>
        </w:tc>
        <w:tc>
          <w:tcPr>
            <w:tcW w:w="1818" w:type="dxa"/>
            <w:vAlign w:val="top"/>
          </w:tcPr>
          <w:p w14:paraId="7E70046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贯彻节约型机关建设，节约用电、用水，推进无纸化办公，统筹办公耗材管理，减少消耗和浪费。</w:t>
            </w:r>
          </w:p>
        </w:tc>
        <w:tc>
          <w:tcPr>
            <w:tcW w:w="1668" w:type="dxa"/>
            <w:vAlign w:val="top"/>
          </w:tcPr>
          <w:p w14:paraId="4198D43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</w:t>
            </w:r>
          </w:p>
        </w:tc>
        <w:tc>
          <w:tcPr>
            <w:tcW w:w="2582" w:type="dxa"/>
            <w:vAlign w:val="top"/>
          </w:tcPr>
          <w:p w14:paraId="0FB74D5E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</w:t>
            </w:r>
          </w:p>
        </w:tc>
      </w:tr>
      <w:tr w14:paraId="01FB5A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15E206F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restart"/>
            <w:tcBorders>
              <w:bottom w:val="nil"/>
            </w:tcBorders>
            <w:vAlign w:val="top"/>
          </w:tcPr>
          <w:p w14:paraId="232064A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5BEDB9A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1DC75D9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17A2A2F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5B8B95F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41D1DC2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79B0055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可持</w:t>
            </w:r>
          </w:p>
          <w:p w14:paraId="48392B3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续发</w:t>
            </w:r>
          </w:p>
          <w:p w14:paraId="280CF72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展能</w:t>
            </w:r>
          </w:p>
          <w:p w14:paraId="16AD2C12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力</w:t>
            </w:r>
          </w:p>
        </w:tc>
        <w:tc>
          <w:tcPr>
            <w:tcW w:w="1539" w:type="dxa"/>
            <w:vMerge w:val="restart"/>
            <w:tcBorders>
              <w:bottom w:val="nil"/>
            </w:tcBorders>
            <w:vAlign w:val="top"/>
          </w:tcPr>
          <w:p w14:paraId="4992AAC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3DAE708E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体制机制改革</w:t>
            </w:r>
          </w:p>
        </w:tc>
        <w:tc>
          <w:tcPr>
            <w:tcW w:w="1818" w:type="dxa"/>
            <w:vAlign w:val="top"/>
          </w:tcPr>
          <w:p w14:paraId="4F9DC07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服务体制改革成效</w:t>
            </w:r>
          </w:p>
        </w:tc>
        <w:tc>
          <w:tcPr>
            <w:tcW w:w="1668" w:type="dxa"/>
            <w:vAlign w:val="top"/>
          </w:tcPr>
          <w:p w14:paraId="32E6313D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建设高质量教育体系。                      </w:t>
            </w:r>
          </w:p>
        </w:tc>
        <w:tc>
          <w:tcPr>
            <w:tcW w:w="2582" w:type="dxa"/>
            <w:vAlign w:val="top"/>
          </w:tcPr>
          <w:p w14:paraId="25ED7E1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一是公办园在园幼儿占比达到56%，义务教育学校100%纳入教联体建设。深化高中领航学校建设，武汉三中勇夺全省物理类高考状元，尖子群体实力雄厚；二十三中一本上线人数居全市同类省级示范高中第二，晴川高中位居市级示范第一。                                                             二是深化双减工作，优化课后服务。定期开展校外培训机构检查，发布黑白灰名单，巩固双减工作成果。</w:t>
            </w:r>
          </w:p>
        </w:tc>
      </w:tr>
      <w:tr w14:paraId="6D4D94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66B3DE5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51500DC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539" w:type="dxa"/>
            <w:vMerge w:val="continue"/>
            <w:tcBorders>
              <w:top w:val="nil"/>
            </w:tcBorders>
            <w:vAlign w:val="top"/>
          </w:tcPr>
          <w:p w14:paraId="07D029D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818" w:type="dxa"/>
            <w:vAlign w:val="top"/>
          </w:tcPr>
          <w:p w14:paraId="7D2EAF1C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行政管理体制改革成 效</w:t>
            </w:r>
          </w:p>
        </w:tc>
        <w:tc>
          <w:tcPr>
            <w:tcW w:w="1668" w:type="dxa"/>
            <w:vAlign w:val="top"/>
          </w:tcPr>
          <w:p w14:paraId="65DAC225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完成机关及事业单位体制改革</w:t>
            </w:r>
          </w:p>
        </w:tc>
        <w:tc>
          <w:tcPr>
            <w:tcW w:w="2582" w:type="dxa"/>
            <w:vAlign w:val="top"/>
          </w:tcPr>
          <w:p w14:paraId="17AC16F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已完成</w:t>
            </w:r>
          </w:p>
        </w:tc>
      </w:tr>
      <w:tr w14:paraId="50091D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68B5399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10F43FF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539" w:type="dxa"/>
            <w:vMerge w:val="restart"/>
            <w:tcBorders>
              <w:bottom w:val="nil"/>
            </w:tcBorders>
            <w:vAlign w:val="top"/>
          </w:tcPr>
          <w:p w14:paraId="1D4248A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65B1B0ED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7EE5CE3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24B877DE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人才支撑</w:t>
            </w:r>
          </w:p>
        </w:tc>
        <w:tc>
          <w:tcPr>
            <w:tcW w:w="1818" w:type="dxa"/>
            <w:vAlign w:val="top"/>
          </w:tcPr>
          <w:p w14:paraId="06BFEF0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业务学习与培训完成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率</w:t>
            </w:r>
          </w:p>
        </w:tc>
        <w:tc>
          <w:tcPr>
            <w:tcW w:w="1668" w:type="dxa"/>
            <w:vAlign w:val="top"/>
          </w:tcPr>
          <w:p w14:paraId="19B48DFA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完成全年教职工培训计划</w:t>
            </w:r>
          </w:p>
        </w:tc>
        <w:tc>
          <w:tcPr>
            <w:tcW w:w="2582" w:type="dxa"/>
            <w:vAlign w:val="top"/>
          </w:tcPr>
          <w:p w14:paraId="3764A75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已完成</w:t>
            </w:r>
          </w:p>
        </w:tc>
      </w:tr>
      <w:tr w14:paraId="475046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271ECE16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39C7DEF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539" w:type="dxa"/>
            <w:vMerge w:val="continue"/>
            <w:tcBorders>
              <w:top w:val="nil"/>
              <w:bottom w:val="nil"/>
            </w:tcBorders>
            <w:vAlign w:val="top"/>
          </w:tcPr>
          <w:p w14:paraId="449E4832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818" w:type="dxa"/>
            <w:vAlign w:val="top"/>
          </w:tcPr>
          <w:p w14:paraId="2CCFD52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干部队伍体系建设规 划情况</w:t>
            </w:r>
          </w:p>
        </w:tc>
        <w:tc>
          <w:tcPr>
            <w:tcW w:w="1668" w:type="dxa"/>
            <w:shd w:val="clear" w:color="auto" w:fill="auto"/>
            <w:vAlign w:val="top"/>
          </w:tcPr>
          <w:p w14:paraId="463F8F6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一是持续加强师德师风建设；二是建设高素质专业化教师队伍；三是锻造堪当发展重任的干部队伍。</w:t>
            </w:r>
          </w:p>
        </w:tc>
        <w:tc>
          <w:tcPr>
            <w:tcW w:w="2582" w:type="dxa"/>
            <w:shd w:val="clear" w:color="auto" w:fill="auto"/>
            <w:vAlign w:val="top"/>
          </w:tcPr>
          <w:p w14:paraId="348DADA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在“名师工作室”“青蓝工程”等工作中实行导师政治及业务“双引领双负责”，促进青年教师政治发展和业务提升“双优化双成长”。加大先进教师典型选树表彰力度。深化领军教师培养工程，提升骨干教师培训针对性和实效性。</w:t>
            </w:r>
          </w:p>
        </w:tc>
      </w:tr>
      <w:tr w14:paraId="297824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0A81A87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68BA6078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539" w:type="dxa"/>
            <w:vMerge w:val="continue"/>
            <w:tcBorders>
              <w:top w:val="nil"/>
            </w:tcBorders>
            <w:vAlign w:val="top"/>
          </w:tcPr>
          <w:p w14:paraId="47B90AF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818" w:type="dxa"/>
            <w:vAlign w:val="top"/>
          </w:tcPr>
          <w:p w14:paraId="2B40FBF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高学历.高层次人才储 备率</w:t>
            </w:r>
          </w:p>
        </w:tc>
        <w:tc>
          <w:tcPr>
            <w:tcW w:w="1668" w:type="dxa"/>
            <w:shd w:val="clear" w:color="auto" w:fill="auto"/>
            <w:vAlign w:val="top"/>
          </w:tcPr>
          <w:p w14:paraId="21FC9017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加强高层次人才培养</w:t>
            </w:r>
          </w:p>
        </w:tc>
        <w:tc>
          <w:tcPr>
            <w:tcW w:w="2582" w:type="dxa"/>
            <w:shd w:val="clear" w:color="auto" w:fill="auto"/>
            <w:vAlign w:val="top"/>
          </w:tcPr>
          <w:p w14:paraId="161F9D4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强化骨干教师轮岗交流，促进优质师资均衡配置。强化学校的教师专业发展功能，创新思路组织教师专业发展实践活动。</w:t>
            </w:r>
          </w:p>
        </w:tc>
      </w:tr>
      <w:tr w14:paraId="66589C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4C3E905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61C7B0F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539" w:type="dxa"/>
            <w:tcBorders>
              <w:bottom w:val="nil"/>
            </w:tcBorders>
            <w:vAlign w:val="top"/>
          </w:tcPr>
          <w:p w14:paraId="26A14E5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639BEB62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科技支撑</w:t>
            </w:r>
          </w:p>
        </w:tc>
        <w:tc>
          <w:tcPr>
            <w:tcW w:w="1818" w:type="dxa"/>
            <w:vAlign w:val="top"/>
          </w:tcPr>
          <w:p w14:paraId="39FDBD4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信息化建设情况</w:t>
            </w:r>
          </w:p>
        </w:tc>
        <w:tc>
          <w:tcPr>
            <w:tcW w:w="1668" w:type="dxa"/>
            <w:vAlign w:val="top"/>
          </w:tcPr>
          <w:p w14:paraId="60F8F43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加强教育系统信息化建设</w:t>
            </w:r>
          </w:p>
        </w:tc>
        <w:tc>
          <w:tcPr>
            <w:tcW w:w="2582" w:type="dxa"/>
            <w:vAlign w:val="top"/>
          </w:tcPr>
          <w:p w14:paraId="69C976B8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参加2024年全球智慧教育大会现场交流。区域虚拟实验教学实践获全球智慧教育首届创新成果提名奖。</w:t>
            </w:r>
          </w:p>
        </w:tc>
      </w:tr>
    </w:tbl>
    <w:p w14:paraId="75A7EA3D">
      <w:pPr>
        <w:spacing w:line="183" w:lineRule="auto"/>
        <w:rPr>
          <w:rFonts w:ascii="宋体" w:hAnsi="宋体" w:eastAsia="宋体" w:cs="宋体"/>
          <w:sz w:val="32"/>
          <w:szCs w:val="32"/>
        </w:rPr>
        <w:sectPr>
          <w:footerReference r:id="rId6" w:type="default"/>
          <w:pgSz w:w="11850" w:h="16780"/>
          <w:pgMar w:top="1426" w:right="1364" w:bottom="400" w:left="1255" w:header="0" w:footer="0" w:gutter="0"/>
          <w:pgNumType w:fmt="decimal"/>
          <w:cols w:space="720" w:num="1"/>
        </w:sectPr>
      </w:pPr>
    </w:p>
    <w:p w14:paraId="29736BE3">
      <w:pPr>
        <w:spacing w:before="77"/>
      </w:pPr>
    </w:p>
    <w:tbl>
      <w:tblPr>
        <w:tblStyle w:val="4"/>
        <w:tblW w:w="92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6"/>
        <w:gridCol w:w="727"/>
        <w:gridCol w:w="1548"/>
        <w:gridCol w:w="1838"/>
        <w:gridCol w:w="1648"/>
        <w:gridCol w:w="2562"/>
      </w:tblGrid>
      <w:tr w14:paraId="38E9D4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886" w:type="dxa"/>
            <w:vMerge w:val="restart"/>
            <w:tcBorders>
              <w:bottom w:val="nil"/>
            </w:tcBorders>
            <w:vAlign w:val="top"/>
          </w:tcPr>
          <w:p w14:paraId="657F810D">
            <w:pPr>
              <w:pStyle w:val="5"/>
            </w:pPr>
          </w:p>
        </w:tc>
        <w:tc>
          <w:tcPr>
            <w:tcW w:w="727" w:type="dxa"/>
            <w:vMerge w:val="restart"/>
            <w:tcBorders>
              <w:bottom w:val="nil"/>
            </w:tcBorders>
            <w:vAlign w:val="top"/>
          </w:tcPr>
          <w:p w14:paraId="65F9FA4B">
            <w:pPr>
              <w:spacing w:before="284" w:line="253" w:lineRule="auto"/>
              <w:ind w:right="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满意度</w:t>
            </w:r>
          </w:p>
        </w:tc>
        <w:tc>
          <w:tcPr>
            <w:tcW w:w="1548" w:type="dxa"/>
            <w:vAlign w:val="center"/>
          </w:tcPr>
          <w:p w14:paraId="08992B03"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师生满意度</w:t>
            </w:r>
          </w:p>
        </w:tc>
        <w:tc>
          <w:tcPr>
            <w:tcW w:w="1838" w:type="dxa"/>
            <w:vAlign w:val="center"/>
          </w:tcPr>
          <w:p w14:paraId="2891975A">
            <w:pPr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绩效基本型</w:t>
            </w:r>
          </w:p>
        </w:tc>
        <w:tc>
          <w:tcPr>
            <w:tcW w:w="1648" w:type="dxa"/>
            <w:vAlign w:val="center"/>
          </w:tcPr>
          <w:p w14:paraId="78618BB5">
            <w:pPr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2562" w:type="dxa"/>
            <w:vAlign w:val="center"/>
          </w:tcPr>
          <w:p w14:paraId="418E7420">
            <w:pPr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98%</w:t>
            </w:r>
          </w:p>
        </w:tc>
      </w:tr>
      <w:tr w14:paraId="38A1B4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86" w:type="dxa"/>
            <w:vMerge w:val="continue"/>
            <w:tcBorders>
              <w:top w:val="nil"/>
            </w:tcBorders>
            <w:vAlign w:val="top"/>
          </w:tcPr>
          <w:p w14:paraId="43590E89">
            <w:pPr>
              <w:pStyle w:val="5"/>
            </w:pPr>
          </w:p>
        </w:tc>
        <w:tc>
          <w:tcPr>
            <w:tcW w:w="727" w:type="dxa"/>
            <w:vMerge w:val="continue"/>
            <w:tcBorders>
              <w:top w:val="nil"/>
            </w:tcBorders>
            <w:vAlign w:val="top"/>
          </w:tcPr>
          <w:p w14:paraId="3376C99D">
            <w:pPr>
              <w:pStyle w:val="5"/>
            </w:pPr>
          </w:p>
        </w:tc>
        <w:tc>
          <w:tcPr>
            <w:tcW w:w="1548" w:type="dxa"/>
            <w:vAlign w:val="center"/>
          </w:tcPr>
          <w:p w14:paraId="05824623"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政府部门满意度</w:t>
            </w:r>
          </w:p>
        </w:tc>
        <w:tc>
          <w:tcPr>
            <w:tcW w:w="1838" w:type="dxa"/>
            <w:vAlign w:val="center"/>
          </w:tcPr>
          <w:p w14:paraId="2517268D">
            <w:pPr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绩效基本型</w:t>
            </w:r>
          </w:p>
        </w:tc>
        <w:tc>
          <w:tcPr>
            <w:tcW w:w="1648" w:type="dxa"/>
            <w:vAlign w:val="center"/>
          </w:tcPr>
          <w:p w14:paraId="7A121A18">
            <w:pPr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2562" w:type="dxa"/>
            <w:vAlign w:val="center"/>
          </w:tcPr>
          <w:p w14:paraId="606BCD4D">
            <w:pPr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98%</w:t>
            </w:r>
          </w:p>
        </w:tc>
      </w:tr>
      <w:tr w14:paraId="7F14E8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613" w:type="dxa"/>
            <w:gridSpan w:val="2"/>
            <w:vAlign w:val="top"/>
          </w:tcPr>
          <w:p w14:paraId="2B8B0DEF">
            <w:pPr>
              <w:jc w:val="both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偏差大或目标未完成原因分析</w:t>
            </w:r>
          </w:p>
        </w:tc>
        <w:tc>
          <w:tcPr>
            <w:tcW w:w="7596" w:type="dxa"/>
            <w:gridSpan w:val="4"/>
            <w:vAlign w:val="top"/>
          </w:tcPr>
          <w:p w14:paraId="0F16CAF9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</w:tr>
      <w:tr w14:paraId="6EDDEB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613" w:type="dxa"/>
            <w:gridSpan w:val="2"/>
            <w:vAlign w:val="top"/>
          </w:tcPr>
          <w:p w14:paraId="07487D97">
            <w:pPr>
              <w:jc w:val="both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改进措施及结果应用方案</w:t>
            </w:r>
          </w:p>
        </w:tc>
        <w:tc>
          <w:tcPr>
            <w:tcW w:w="7596" w:type="dxa"/>
            <w:gridSpan w:val="4"/>
            <w:vAlign w:val="top"/>
          </w:tcPr>
          <w:p w14:paraId="39FE4EB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</w:tr>
    </w:tbl>
    <w:p w14:paraId="7805A4D4">
      <w:pPr>
        <w:jc w:val="both"/>
        <w:textAlignment w:val="center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备注：1.基本支出总额和项目支出总额为财政资金实际支出数。</w:t>
      </w:r>
    </w:p>
    <w:p w14:paraId="2C420E54">
      <w:pPr>
        <w:ind w:firstLine="630" w:firstLineChars="300"/>
        <w:jc w:val="both"/>
        <w:textAlignment w:val="center"/>
        <w:rPr>
          <w:rFonts w:hint="eastAsia" w:ascii="仿宋" w:hAnsi="仿宋" w:eastAsia="仿宋" w:cs="仿宋"/>
          <w:sz w:val="21"/>
          <w:szCs w:val="21"/>
          <w:lang w:val="en-US" w:eastAsia="zh-CN"/>
        </w:rPr>
        <w:sectPr>
          <w:footerReference r:id="rId7" w:type="default"/>
          <w:pgSz w:w="11850" w:h="16780"/>
          <w:pgMar w:top="1440" w:right="1803" w:bottom="1440" w:left="1803" w:header="0" w:footer="1129" w:gutter="0"/>
          <w:pgNumType w:fmt="decimal"/>
          <w:cols w:space="720" w:num="1"/>
        </w:sect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2.基于经济性和必要性等因素考虑，满意度指标暂可不作为必评指标。</w:t>
      </w:r>
    </w:p>
    <w:p w14:paraId="5B1B583B"/>
    <w:sectPr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7C4612">
    <w:pPr>
      <w:spacing w:before="1" w:line="172" w:lineRule="auto"/>
      <w:ind w:left="8354"/>
      <w:rPr>
        <w:rFonts w:ascii="宋体" w:hAnsi="宋体" w:eastAsia="宋体" w:cs="宋体"/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0DE6E9"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BEF8B3">
    <w:pPr>
      <w:spacing w:line="174" w:lineRule="auto"/>
      <w:ind w:left="8384"/>
      <w:rPr>
        <w:rFonts w:ascii="宋体" w:hAnsi="宋体" w:eastAsia="宋体" w:cs="宋体"/>
        <w:sz w:val="21"/>
        <w:szCs w:val="21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C76673">
    <w:pPr>
      <w:spacing w:line="174" w:lineRule="auto"/>
      <w:ind w:left="8384"/>
      <w:rPr>
        <w:rFonts w:ascii="宋体" w:hAnsi="宋体" w:eastAsia="宋体" w:cs="宋体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9924A1"/>
    <w:rsid w:val="2A0F0F0C"/>
    <w:rsid w:val="439924A1"/>
    <w:rsid w:val="79BE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1627</Words>
  <Characters>1714</Characters>
  <Lines>0</Lines>
  <Paragraphs>0</Paragraphs>
  <TotalTime>2</TotalTime>
  <ScaleCrop>false</ScaleCrop>
  <LinksUpToDate>false</LinksUpToDate>
  <CharactersWithSpaces>1812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2025-07-10T08:00:00Z</dcterms:created>
  <dc:creator>财务科陈蔚林</dc:creator>
  <cp:lastModifiedBy>财务科陈蔚林</cp:lastModifiedBy>
  <dcterms:modified xsi:type="dcterms:W3CDTF">2025-10-16T07:53:54Z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D938F4D12FB34510AE5FFDA458E1C6F3_13</vt:lpwstr>
  </property>
  <property fmtid="{D5CDD505-2E9C-101B-9397-08002B2CF9AE}" pid="4" name="KSOTemplateDocerSaveRecord">
    <vt:lpwstr>eyJoZGlkIjoiZjUxM2MxYjZjNDMyOGFhMDQ3M2EyMTZkMDhhYjUxY2EiLCJ1c2VySWQiOiIxNDU1MjIzMDU4In0=</vt:lpwstr>
  </property>
</Properties>
</file>