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1466E8">
      <w:pPr>
        <w:spacing w:before="244" w:line="219" w:lineRule="auto"/>
        <w:jc w:val="center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b/>
          <w:bCs/>
          <w:sz w:val="39"/>
          <w:szCs w:val="39"/>
        </w:rPr>
        <w:t>2023年度</w:t>
      </w:r>
      <w:r>
        <w:rPr>
          <w:rFonts w:hint="eastAsia" w:ascii="Times New Roman" w:hAnsi="Times New Roman" w:eastAsia="宋体" w:cs="Times New Roman"/>
          <w:b/>
          <w:bCs/>
          <w:sz w:val="39"/>
          <w:szCs w:val="39"/>
          <w:lang w:val="en-US" w:eastAsia="zh-CN"/>
        </w:rPr>
        <w:t>汉阳区教育局</w:t>
      </w:r>
      <w:r>
        <w:rPr>
          <w:rFonts w:ascii="宋体" w:hAnsi="宋体" w:eastAsia="宋体" w:cs="宋体"/>
          <w:b/>
          <w:bCs/>
          <w:sz w:val="39"/>
          <w:szCs w:val="39"/>
        </w:rPr>
        <w:t>整体绩效自评表</w:t>
      </w:r>
    </w:p>
    <w:p w14:paraId="0FDD2E79">
      <w:pPr>
        <w:spacing w:line="112" w:lineRule="exact"/>
      </w:pPr>
    </w:p>
    <w:tbl>
      <w:tblPr>
        <w:tblStyle w:val="5"/>
        <w:tblW w:w="92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4"/>
        <w:gridCol w:w="1419"/>
        <w:gridCol w:w="1738"/>
        <w:gridCol w:w="1398"/>
        <w:gridCol w:w="1558"/>
        <w:gridCol w:w="2372"/>
      </w:tblGrid>
      <w:tr w14:paraId="0F659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63" w:type="dxa"/>
            <w:gridSpan w:val="2"/>
            <w:vAlign w:val="center"/>
          </w:tcPr>
          <w:p w14:paraId="7FC51FC2">
            <w:pPr>
              <w:spacing w:before="74" w:line="220" w:lineRule="auto"/>
              <w:ind w:left="635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单位名称</w:t>
            </w:r>
          </w:p>
        </w:tc>
        <w:tc>
          <w:tcPr>
            <w:tcW w:w="7066" w:type="dxa"/>
            <w:gridSpan w:val="4"/>
            <w:vAlign w:val="center"/>
          </w:tcPr>
          <w:p w14:paraId="695F8364">
            <w:pPr>
              <w:pStyle w:val="6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武汉市汉阳区教育局</w:t>
            </w:r>
          </w:p>
        </w:tc>
      </w:tr>
      <w:tr w14:paraId="5539A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163" w:type="dxa"/>
            <w:gridSpan w:val="2"/>
            <w:vAlign w:val="center"/>
          </w:tcPr>
          <w:p w14:paraId="4E1445D3">
            <w:pPr>
              <w:spacing w:before="97" w:line="219" w:lineRule="auto"/>
              <w:ind w:left="414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基本支出总额</w:t>
            </w:r>
          </w:p>
        </w:tc>
        <w:tc>
          <w:tcPr>
            <w:tcW w:w="3136" w:type="dxa"/>
            <w:gridSpan w:val="2"/>
            <w:vAlign w:val="center"/>
          </w:tcPr>
          <w:p w14:paraId="563DFD9E">
            <w:pPr>
              <w:pStyle w:val="6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2"/>
                <w:szCs w:val="22"/>
                <w:lang w:val="en-US" w:eastAsia="zh-CN" w:bidi="ar-SA"/>
              </w:rPr>
              <w:t>08,967.23万元</w:t>
            </w:r>
          </w:p>
        </w:tc>
        <w:tc>
          <w:tcPr>
            <w:tcW w:w="1558" w:type="dxa"/>
            <w:vAlign w:val="center"/>
          </w:tcPr>
          <w:p w14:paraId="7713929A">
            <w:pPr>
              <w:spacing w:before="99" w:line="219" w:lineRule="auto"/>
              <w:ind w:left="115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项目支出总额</w:t>
            </w:r>
          </w:p>
        </w:tc>
        <w:tc>
          <w:tcPr>
            <w:tcW w:w="2372" w:type="dxa"/>
            <w:vAlign w:val="center"/>
          </w:tcPr>
          <w:p w14:paraId="3C2C543A">
            <w:pPr>
              <w:pStyle w:val="6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2"/>
                <w:szCs w:val="22"/>
                <w:lang w:val="en-US" w:eastAsia="en-US" w:bidi="ar-SA"/>
              </w:rPr>
              <w:t>77,228.88万元</w:t>
            </w:r>
          </w:p>
        </w:tc>
      </w:tr>
      <w:tr w14:paraId="24D62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163" w:type="dxa"/>
            <w:gridSpan w:val="2"/>
            <w:vAlign w:val="center"/>
          </w:tcPr>
          <w:p w14:paraId="6933CB57">
            <w:pPr>
              <w:spacing w:before="59" w:line="219" w:lineRule="auto"/>
              <w:ind w:left="635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年度目标</w:t>
            </w:r>
          </w:p>
        </w:tc>
        <w:tc>
          <w:tcPr>
            <w:tcW w:w="7066" w:type="dxa"/>
            <w:gridSpan w:val="4"/>
            <w:vAlign w:val="top"/>
          </w:tcPr>
          <w:p w14:paraId="71087FF2">
            <w:pPr>
              <w:pStyle w:val="6"/>
              <w:rPr>
                <w:rFonts w:hint="eastAsia"/>
              </w:rPr>
            </w:pPr>
            <w:r>
              <w:rPr>
                <w:rFonts w:hint="eastAsia"/>
              </w:rPr>
              <w:t>一、坚持“三线并举”：持之以恒地坚守安全底线，为安全平稳发展筑牢堤坝；坚守纪律红线，为锻造优良作风定盘压舱；坚守质量生命线，为持续争先进位增添底气。</w:t>
            </w:r>
          </w:p>
          <w:p w14:paraId="2F1A8B74">
            <w:pPr>
              <w:pStyle w:val="6"/>
              <w:rPr>
                <w:rFonts w:hint="eastAsia"/>
              </w:rPr>
            </w:pPr>
            <w:r>
              <w:rPr>
                <w:rFonts w:hint="eastAsia"/>
              </w:rPr>
              <w:t>二、建强“三个教育中心”：均衡布局钟家村地区教育示范中心、二桥地区教育发展中心、四新地区现代教育中心，通过“三个教育中心”和谐共生、协同共进，形成汉阳教育既鼎立鼎兴又各领风骚的发展大格局。</w:t>
            </w:r>
          </w:p>
          <w:p w14:paraId="7502439C">
            <w:pPr>
              <w:pStyle w:val="6"/>
            </w:pPr>
            <w:r>
              <w:rPr>
                <w:rFonts w:hint="eastAsia"/>
              </w:rPr>
              <w:t>三、打造“四个品牌”。对标区委总体部署，结合改革开放40年来汉阳教育形成的亮点经验，重点打造“立德树人、四有教师、学校特色、基层党建”四个品牌，加快形成在全市、全省乃至全国教育界有一定影响力的新名片和新标杆。</w:t>
            </w:r>
          </w:p>
        </w:tc>
      </w:tr>
      <w:tr w14:paraId="60DB3D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744" w:type="dxa"/>
            <w:vMerge w:val="restart"/>
            <w:tcBorders>
              <w:bottom w:val="nil"/>
            </w:tcBorders>
            <w:textDirection w:val="tbRlV"/>
            <w:vAlign w:val="top"/>
          </w:tcPr>
          <w:p w14:paraId="7F7B7445">
            <w:pPr>
              <w:spacing w:before="258" w:line="190" w:lineRule="auto"/>
              <w:ind w:left="426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度</w:t>
            </w:r>
            <w:r>
              <w:rPr>
                <w:rFonts w:ascii="宋体" w:hAnsi="宋体" w:eastAsia="宋体" w:cs="宋体"/>
                <w:spacing w:val="-25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z w:val="17"/>
                <w:szCs w:val="17"/>
              </w:rPr>
              <w:t>效</w:t>
            </w:r>
            <w:r>
              <w:rPr>
                <w:rFonts w:ascii="宋体" w:hAnsi="宋体" w:eastAsia="宋体" w:cs="宋体"/>
                <w:spacing w:val="-25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z w:val="17"/>
                <w:szCs w:val="17"/>
              </w:rPr>
              <w:t>标</w:t>
            </w:r>
          </w:p>
          <w:p w14:paraId="643362B4">
            <w:pPr>
              <w:spacing w:line="216" w:lineRule="auto"/>
              <w:ind w:left="42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3"/>
                <w:sz w:val="17"/>
                <w:szCs w:val="17"/>
              </w:rPr>
              <w:t>年绩指</w:t>
            </w:r>
          </w:p>
        </w:tc>
        <w:tc>
          <w:tcPr>
            <w:tcW w:w="1419" w:type="dxa"/>
            <w:vAlign w:val="top"/>
          </w:tcPr>
          <w:p w14:paraId="71509F83">
            <w:pPr>
              <w:spacing w:before="229" w:line="220" w:lineRule="auto"/>
              <w:ind w:left="2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二级指标</w:t>
            </w:r>
          </w:p>
        </w:tc>
        <w:tc>
          <w:tcPr>
            <w:tcW w:w="1738" w:type="dxa"/>
            <w:vAlign w:val="top"/>
          </w:tcPr>
          <w:p w14:paraId="468B85FE">
            <w:pPr>
              <w:spacing w:before="229" w:line="220" w:lineRule="auto"/>
              <w:ind w:left="57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三级指标</w:t>
            </w:r>
          </w:p>
        </w:tc>
        <w:tc>
          <w:tcPr>
            <w:tcW w:w="1398" w:type="dxa"/>
            <w:vAlign w:val="top"/>
          </w:tcPr>
          <w:p w14:paraId="4FC7A41F">
            <w:pPr>
              <w:spacing w:before="229" w:line="219" w:lineRule="auto"/>
              <w:ind w:left="22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指标分类</w:t>
            </w:r>
          </w:p>
        </w:tc>
        <w:tc>
          <w:tcPr>
            <w:tcW w:w="1558" w:type="dxa"/>
            <w:vAlign w:val="top"/>
          </w:tcPr>
          <w:p w14:paraId="74F50AC6">
            <w:pPr>
              <w:spacing w:before="229" w:line="219" w:lineRule="auto"/>
              <w:ind w:left="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年初目标值(a)</w:t>
            </w:r>
          </w:p>
        </w:tc>
        <w:tc>
          <w:tcPr>
            <w:tcW w:w="2372" w:type="dxa"/>
            <w:vAlign w:val="top"/>
          </w:tcPr>
          <w:p w14:paraId="65E633C2">
            <w:pPr>
              <w:spacing w:before="229" w:line="219" w:lineRule="auto"/>
              <w:ind w:left="46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6"/>
                <w:sz w:val="22"/>
                <w:szCs w:val="22"/>
              </w:rPr>
              <w:t>实</w:t>
            </w:r>
            <w:r>
              <w:rPr>
                <w:rFonts w:ascii="宋体" w:hAnsi="宋体" w:eastAsia="宋体" w:cs="宋体"/>
                <w:spacing w:val="-2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22"/>
                <w:szCs w:val="22"/>
              </w:rPr>
              <w:t>际</w:t>
            </w:r>
            <w:r>
              <w:rPr>
                <w:rFonts w:ascii="宋体" w:hAnsi="宋体" w:eastAsia="宋体" w:cs="宋体"/>
                <w:spacing w:val="-4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22"/>
                <w:szCs w:val="22"/>
              </w:rPr>
              <w:t>完</w:t>
            </w:r>
            <w:r>
              <w:rPr>
                <w:rFonts w:ascii="宋体" w:hAnsi="宋体" w:eastAsia="宋体" w:cs="宋体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22"/>
                <w:szCs w:val="22"/>
              </w:rPr>
              <w:t>成</w:t>
            </w:r>
            <w:r>
              <w:rPr>
                <w:rFonts w:ascii="宋体" w:hAnsi="宋体" w:eastAsia="宋体" w:cs="宋体"/>
                <w:spacing w:val="-44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22"/>
                <w:szCs w:val="22"/>
              </w:rPr>
              <w:t>值 (</w:t>
            </w:r>
            <w:r>
              <w:rPr>
                <w:rFonts w:ascii="宋体" w:hAnsi="宋体" w:eastAsia="宋体" w:cs="宋体"/>
                <w:spacing w:val="-44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sz w:val="22"/>
                <w:szCs w:val="22"/>
              </w:rPr>
              <w:t>)</w:t>
            </w:r>
          </w:p>
        </w:tc>
      </w:tr>
      <w:tr w14:paraId="2D1F2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5A308C2">
            <w:pPr>
              <w:pStyle w:val="6"/>
            </w:pPr>
          </w:p>
        </w:tc>
        <w:tc>
          <w:tcPr>
            <w:tcW w:w="1419" w:type="dxa"/>
            <w:vAlign w:val="top"/>
          </w:tcPr>
          <w:p w14:paraId="3FD25211">
            <w:pPr>
              <w:spacing w:before="170" w:line="220" w:lineRule="auto"/>
              <w:ind w:left="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公用经费控制</w:t>
            </w:r>
          </w:p>
        </w:tc>
        <w:tc>
          <w:tcPr>
            <w:tcW w:w="1738" w:type="dxa"/>
            <w:vAlign w:val="top"/>
          </w:tcPr>
          <w:p w14:paraId="582A7E89">
            <w:pPr>
              <w:spacing w:before="170" w:line="219" w:lineRule="auto"/>
              <w:ind w:left="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公用经费控制率</w:t>
            </w:r>
          </w:p>
        </w:tc>
        <w:tc>
          <w:tcPr>
            <w:tcW w:w="1398" w:type="dxa"/>
            <w:vAlign w:val="top"/>
          </w:tcPr>
          <w:p w14:paraId="05871797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7F743C43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按在职人数使用</w:t>
            </w:r>
          </w:p>
        </w:tc>
        <w:tc>
          <w:tcPr>
            <w:tcW w:w="2372" w:type="dxa"/>
            <w:vAlign w:val="top"/>
          </w:tcPr>
          <w:p w14:paraId="595A8833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按在职人数使用</w:t>
            </w:r>
          </w:p>
        </w:tc>
      </w:tr>
      <w:tr w14:paraId="3A6E6E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197C4AD">
            <w:pPr>
              <w:pStyle w:val="6"/>
            </w:pPr>
          </w:p>
        </w:tc>
        <w:tc>
          <w:tcPr>
            <w:tcW w:w="1419" w:type="dxa"/>
            <w:vAlign w:val="top"/>
          </w:tcPr>
          <w:p w14:paraId="3518D943">
            <w:pPr>
              <w:spacing w:before="171" w:line="220" w:lineRule="auto"/>
              <w:ind w:left="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在职人员控制</w:t>
            </w:r>
          </w:p>
        </w:tc>
        <w:tc>
          <w:tcPr>
            <w:tcW w:w="1738" w:type="dxa"/>
            <w:vAlign w:val="top"/>
          </w:tcPr>
          <w:p w14:paraId="6404FA04">
            <w:pPr>
              <w:spacing w:before="171" w:line="219" w:lineRule="auto"/>
              <w:ind w:left="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在职人员控制率</w:t>
            </w:r>
          </w:p>
        </w:tc>
        <w:tc>
          <w:tcPr>
            <w:tcW w:w="1398" w:type="dxa"/>
            <w:vAlign w:val="top"/>
          </w:tcPr>
          <w:p w14:paraId="1DF317B8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1E8C937F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按在职在编人数</w:t>
            </w:r>
          </w:p>
        </w:tc>
        <w:tc>
          <w:tcPr>
            <w:tcW w:w="2372" w:type="dxa"/>
            <w:vAlign w:val="top"/>
          </w:tcPr>
          <w:p w14:paraId="362185A1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按在职在编人数</w:t>
            </w:r>
          </w:p>
        </w:tc>
      </w:tr>
      <w:tr w14:paraId="0505E8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FB7C2F5">
            <w:pPr>
              <w:pStyle w:val="6"/>
            </w:pPr>
          </w:p>
        </w:tc>
        <w:tc>
          <w:tcPr>
            <w:tcW w:w="1419" w:type="dxa"/>
            <w:vMerge w:val="restart"/>
            <w:tcBorders>
              <w:bottom w:val="nil"/>
            </w:tcBorders>
            <w:vAlign w:val="top"/>
          </w:tcPr>
          <w:p w14:paraId="3F4F389C">
            <w:pPr>
              <w:pStyle w:val="6"/>
              <w:spacing w:line="277" w:lineRule="auto"/>
            </w:pPr>
          </w:p>
          <w:p w14:paraId="6880F047">
            <w:pPr>
              <w:pStyle w:val="6"/>
              <w:spacing w:line="277" w:lineRule="auto"/>
            </w:pPr>
          </w:p>
          <w:p w14:paraId="083A23DC">
            <w:pPr>
              <w:spacing w:before="72" w:line="220" w:lineRule="auto"/>
              <w:ind w:left="480" w:right="37" w:hanging="4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项目支出成本</w:t>
            </w: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2"/>
                <w:szCs w:val="22"/>
              </w:rPr>
              <w:t>控制</w:t>
            </w:r>
          </w:p>
        </w:tc>
        <w:tc>
          <w:tcPr>
            <w:tcW w:w="1738" w:type="dxa"/>
            <w:vAlign w:val="top"/>
          </w:tcPr>
          <w:p w14:paraId="539A6830">
            <w:pPr>
              <w:spacing w:before="169" w:line="219" w:lineRule="auto"/>
              <w:ind w:left="20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会议费控制率</w:t>
            </w:r>
          </w:p>
        </w:tc>
        <w:tc>
          <w:tcPr>
            <w:tcW w:w="1398" w:type="dxa"/>
            <w:vAlign w:val="top"/>
          </w:tcPr>
          <w:p w14:paraId="6BDDC489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09673C66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372" w:type="dxa"/>
            <w:vAlign w:val="top"/>
          </w:tcPr>
          <w:p w14:paraId="5B9FE35D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 w14:paraId="1EF37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6264CB3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476E76B2">
            <w:pPr>
              <w:pStyle w:val="6"/>
            </w:pPr>
          </w:p>
        </w:tc>
        <w:tc>
          <w:tcPr>
            <w:tcW w:w="1738" w:type="dxa"/>
            <w:vAlign w:val="top"/>
          </w:tcPr>
          <w:p w14:paraId="2935562F">
            <w:pPr>
              <w:spacing w:before="72" w:line="204" w:lineRule="auto"/>
              <w:ind w:left="651" w:right="86" w:hanging="65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4"/>
                <w:sz w:val="22"/>
                <w:szCs w:val="22"/>
              </w:rPr>
              <w:t>“三公经费”</w:t>
            </w:r>
            <w:r>
              <w:rPr>
                <w:rFonts w:hint="eastAsia" w:ascii="宋体" w:hAnsi="宋体" w:eastAsia="宋体" w:cs="宋体"/>
                <w:spacing w:val="14"/>
                <w:sz w:val="22"/>
                <w:szCs w:val="22"/>
                <w:lang w:eastAsia="zh-CN"/>
              </w:rPr>
              <w:t>控制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率</w:t>
            </w:r>
          </w:p>
        </w:tc>
        <w:tc>
          <w:tcPr>
            <w:tcW w:w="1398" w:type="dxa"/>
            <w:vAlign w:val="top"/>
          </w:tcPr>
          <w:p w14:paraId="15AD1220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7D185156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小于0.001%</w:t>
            </w:r>
          </w:p>
        </w:tc>
        <w:tc>
          <w:tcPr>
            <w:tcW w:w="2372" w:type="dxa"/>
            <w:vAlign w:val="top"/>
          </w:tcPr>
          <w:p w14:paraId="3FF915AC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小于0.001%</w:t>
            </w:r>
          </w:p>
        </w:tc>
      </w:tr>
      <w:tr w14:paraId="3A253E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7D41ED2">
            <w:pPr>
              <w:pStyle w:val="6"/>
            </w:pPr>
          </w:p>
        </w:tc>
        <w:tc>
          <w:tcPr>
            <w:tcW w:w="1419" w:type="dxa"/>
            <w:vMerge w:val="restart"/>
            <w:tcBorders>
              <w:bottom w:val="nil"/>
            </w:tcBorders>
            <w:vAlign w:val="top"/>
          </w:tcPr>
          <w:p w14:paraId="1FF626E2">
            <w:pPr>
              <w:pStyle w:val="6"/>
              <w:spacing w:line="380" w:lineRule="auto"/>
            </w:pPr>
          </w:p>
          <w:p w14:paraId="1A3DCADE">
            <w:pPr>
              <w:spacing w:before="71" w:line="219" w:lineRule="auto"/>
              <w:ind w:left="2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战略管理</w:t>
            </w:r>
          </w:p>
        </w:tc>
        <w:tc>
          <w:tcPr>
            <w:tcW w:w="1738" w:type="dxa"/>
            <w:vAlign w:val="top"/>
          </w:tcPr>
          <w:p w14:paraId="6DC4DD43">
            <w:pPr>
              <w:spacing w:before="73" w:line="200" w:lineRule="auto"/>
              <w:ind w:left="751" w:right="87" w:hanging="6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中长期规划相符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性</w:t>
            </w:r>
          </w:p>
        </w:tc>
        <w:tc>
          <w:tcPr>
            <w:tcW w:w="1398" w:type="dxa"/>
            <w:vAlign w:val="top"/>
          </w:tcPr>
          <w:p w14:paraId="1BF1DCC2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44DAFB2F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相符</w:t>
            </w:r>
          </w:p>
        </w:tc>
        <w:tc>
          <w:tcPr>
            <w:tcW w:w="2372" w:type="dxa"/>
            <w:vAlign w:val="top"/>
          </w:tcPr>
          <w:p w14:paraId="003A25D6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相符</w:t>
            </w:r>
          </w:p>
        </w:tc>
      </w:tr>
      <w:tr w14:paraId="75907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04DBAD2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</w:tcBorders>
            <w:vAlign w:val="top"/>
          </w:tcPr>
          <w:p w14:paraId="3DE4530C">
            <w:pPr>
              <w:pStyle w:val="6"/>
            </w:pPr>
          </w:p>
        </w:tc>
        <w:tc>
          <w:tcPr>
            <w:tcW w:w="1738" w:type="dxa"/>
            <w:vAlign w:val="top"/>
          </w:tcPr>
          <w:p w14:paraId="452349E6">
            <w:pPr>
              <w:spacing w:before="164" w:line="220" w:lineRule="auto"/>
              <w:ind w:left="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工作计划健全性</w:t>
            </w:r>
          </w:p>
        </w:tc>
        <w:tc>
          <w:tcPr>
            <w:tcW w:w="1398" w:type="dxa"/>
            <w:vAlign w:val="top"/>
          </w:tcPr>
          <w:p w14:paraId="2B2BDF92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5BF34F38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健全</w:t>
            </w:r>
          </w:p>
        </w:tc>
        <w:tc>
          <w:tcPr>
            <w:tcW w:w="2372" w:type="dxa"/>
            <w:vAlign w:val="top"/>
          </w:tcPr>
          <w:p w14:paraId="6C6C38A9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健全</w:t>
            </w:r>
          </w:p>
        </w:tc>
      </w:tr>
      <w:tr w14:paraId="6014FF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396785B">
            <w:pPr>
              <w:pStyle w:val="6"/>
            </w:pPr>
          </w:p>
        </w:tc>
        <w:tc>
          <w:tcPr>
            <w:tcW w:w="1419" w:type="dxa"/>
            <w:vMerge w:val="restart"/>
            <w:tcBorders>
              <w:bottom w:val="nil"/>
            </w:tcBorders>
            <w:vAlign w:val="top"/>
          </w:tcPr>
          <w:p w14:paraId="29913C03">
            <w:pPr>
              <w:pStyle w:val="6"/>
              <w:spacing w:line="315" w:lineRule="auto"/>
            </w:pPr>
          </w:p>
          <w:p w14:paraId="21D0FFF2">
            <w:pPr>
              <w:pStyle w:val="6"/>
              <w:spacing w:line="315" w:lineRule="auto"/>
            </w:pPr>
          </w:p>
          <w:p w14:paraId="3A4F5719">
            <w:pPr>
              <w:pStyle w:val="6"/>
              <w:spacing w:line="316" w:lineRule="auto"/>
            </w:pPr>
          </w:p>
          <w:p w14:paraId="13CA232F">
            <w:pPr>
              <w:spacing w:before="72" w:line="219" w:lineRule="auto"/>
              <w:ind w:left="2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预算编制</w:t>
            </w:r>
          </w:p>
        </w:tc>
        <w:tc>
          <w:tcPr>
            <w:tcW w:w="1738" w:type="dxa"/>
            <w:vAlign w:val="top"/>
          </w:tcPr>
          <w:p w14:paraId="1493732F">
            <w:pPr>
              <w:spacing w:before="172" w:line="219" w:lineRule="auto"/>
              <w:ind w:left="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预算编制科学性</w:t>
            </w:r>
          </w:p>
        </w:tc>
        <w:tc>
          <w:tcPr>
            <w:tcW w:w="1398" w:type="dxa"/>
            <w:vAlign w:val="top"/>
          </w:tcPr>
          <w:p w14:paraId="64FB798E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1A23CD5D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科学</w:t>
            </w:r>
          </w:p>
        </w:tc>
        <w:tc>
          <w:tcPr>
            <w:tcW w:w="2372" w:type="dxa"/>
            <w:vAlign w:val="top"/>
          </w:tcPr>
          <w:p w14:paraId="40AE68D5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科学</w:t>
            </w:r>
          </w:p>
        </w:tc>
      </w:tr>
      <w:tr w14:paraId="7C7BCC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69E0453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052380CB">
            <w:pPr>
              <w:pStyle w:val="6"/>
            </w:pPr>
          </w:p>
        </w:tc>
        <w:tc>
          <w:tcPr>
            <w:tcW w:w="1738" w:type="dxa"/>
            <w:vAlign w:val="top"/>
          </w:tcPr>
          <w:p w14:paraId="7ADC0A80">
            <w:pPr>
              <w:spacing w:before="175" w:line="219" w:lineRule="auto"/>
              <w:ind w:left="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预算编制合理性</w:t>
            </w:r>
          </w:p>
        </w:tc>
        <w:tc>
          <w:tcPr>
            <w:tcW w:w="1398" w:type="dxa"/>
            <w:vAlign w:val="top"/>
          </w:tcPr>
          <w:p w14:paraId="7CA52C8A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66F01859">
            <w:pPr>
              <w:pStyle w:val="6"/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合理</w:t>
            </w:r>
          </w:p>
        </w:tc>
        <w:tc>
          <w:tcPr>
            <w:tcW w:w="2372" w:type="dxa"/>
            <w:vAlign w:val="top"/>
          </w:tcPr>
          <w:p w14:paraId="0E326AEE">
            <w:pPr>
              <w:pStyle w:val="6"/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合理</w:t>
            </w:r>
          </w:p>
        </w:tc>
      </w:tr>
      <w:tr w14:paraId="231C0E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7379053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319DEC68">
            <w:pPr>
              <w:pStyle w:val="6"/>
            </w:pPr>
          </w:p>
        </w:tc>
        <w:tc>
          <w:tcPr>
            <w:tcW w:w="1738" w:type="dxa"/>
            <w:vAlign w:val="top"/>
          </w:tcPr>
          <w:p w14:paraId="72132702">
            <w:pPr>
              <w:spacing w:before="175" w:line="220" w:lineRule="auto"/>
              <w:ind w:left="3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立项规范性</w:t>
            </w:r>
          </w:p>
        </w:tc>
        <w:tc>
          <w:tcPr>
            <w:tcW w:w="1398" w:type="dxa"/>
            <w:vAlign w:val="top"/>
          </w:tcPr>
          <w:p w14:paraId="3D140806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7638610A">
            <w:pPr>
              <w:pStyle w:val="6"/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规范</w:t>
            </w:r>
          </w:p>
        </w:tc>
        <w:tc>
          <w:tcPr>
            <w:tcW w:w="2372" w:type="dxa"/>
            <w:vAlign w:val="top"/>
          </w:tcPr>
          <w:p w14:paraId="55D372EC">
            <w:pPr>
              <w:pStyle w:val="6"/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规范</w:t>
            </w:r>
          </w:p>
        </w:tc>
      </w:tr>
      <w:tr w14:paraId="212497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B4D93B5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</w:tcBorders>
            <w:vAlign w:val="top"/>
          </w:tcPr>
          <w:p w14:paraId="526970F5">
            <w:pPr>
              <w:pStyle w:val="6"/>
            </w:pPr>
          </w:p>
        </w:tc>
        <w:tc>
          <w:tcPr>
            <w:tcW w:w="1738" w:type="dxa"/>
            <w:vAlign w:val="top"/>
          </w:tcPr>
          <w:p w14:paraId="79BC7CCE">
            <w:pPr>
              <w:spacing w:before="166" w:line="219" w:lineRule="auto"/>
              <w:ind w:left="3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预算调整率</w:t>
            </w:r>
          </w:p>
        </w:tc>
        <w:tc>
          <w:tcPr>
            <w:tcW w:w="1398" w:type="dxa"/>
            <w:vAlign w:val="top"/>
          </w:tcPr>
          <w:p w14:paraId="37852D6D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43BA1C91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372" w:type="dxa"/>
            <w:vAlign w:val="top"/>
          </w:tcPr>
          <w:p w14:paraId="542F01BA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 w14:paraId="2BCF3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35F89BE">
            <w:pPr>
              <w:pStyle w:val="6"/>
            </w:pPr>
          </w:p>
        </w:tc>
        <w:tc>
          <w:tcPr>
            <w:tcW w:w="1419" w:type="dxa"/>
            <w:vMerge w:val="restart"/>
            <w:tcBorders>
              <w:bottom w:val="nil"/>
            </w:tcBorders>
            <w:vAlign w:val="top"/>
          </w:tcPr>
          <w:p w14:paraId="56B77EDB">
            <w:pPr>
              <w:pStyle w:val="6"/>
              <w:spacing w:line="316" w:lineRule="auto"/>
            </w:pPr>
          </w:p>
          <w:p w14:paraId="27EE07D6">
            <w:pPr>
              <w:pStyle w:val="6"/>
              <w:spacing w:line="316" w:lineRule="auto"/>
            </w:pPr>
          </w:p>
          <w:p w14:paraId="5518AADF">
            <w:pPr>
              <w:pStyle w:val="6"/>
              <w:spacing w:line="317" w:lineRule="auto"/>
            </w:pPr>
          </w:p>
          <w:p w14:paraId="27720DA0">
            <w:pPr>
              <w:spacing w:before="72" w:line="219" w:lineRule="auto"/>
              <w:ind w:left="26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预算执行</w:t>
            </w:r>
          </w:p>
        </w:tc>
        <w:tc>
          <w:tcPr>
            <w:tcW w:w="1738" w:type="dxa"/>
            <w:vAlign w:val="top"/>
          </w:tcPr>
          <w:p w14:paraId="0876A14B">
            <w:pPr>
              <w:spacing w:before="177" w:line="219" w:lineRule="auto"/>
              <w:ind w:left="3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预算执行率</w:t>
            </w:r>
          </w:p>
        </w:tc>
        <w:tc>
          <w:tcPr>
            <w:tcW w:w="1398" w:type="dxa"/>
            <w:vAlign w:val="top"/>
          </w:tcPr>
          <w:p w14:paraId="56BD8A30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17C9D30B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80%</w:t>
            </w:r>
          </w:p>
        </w:tc>
        <w:tc>
          <w:tcPr>
            <w:tcW w:w="2372" w:type="dxa"/>
            <w:vAlign w:val="top"/>
          </w:tcPr>
          <w:p w14:paraId="279526EB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94.82%</w:t>
            </w:r>
          </w:p>
        </w:tc>
      </w:tr>
      <w:tr w14:paraId="6F4582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052EC0E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2A5AE489">
            <w:pPr>
              <w:pStyle w:val="6"/>
            </w:pPr>
          </w:p>
        </w:tc>
        <w:tc>
          <w:tcPr>
            <w:tcW w:w="1738" w:type="dxa"/>
            <w:vAlign w:val="top"/>
          </w:tcPr>
          <w:p w14:paraId="74D7AD38">
            <w:pPr>
              <w:spacing w:before="177" w:line="219" w:lineRule="auto"/>
              <w:ind w:left="3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结转结余率</w:t>
            </w:r>
          </w:p>
        </w:tc>
        <w:tc>
          <w:tcPr>
            <w:tcW w:w="1398" w:type="dxa"/>
            <w:vAlign w:val="top"/>
          </w:tcPr>
          <w:p w14:paraId="2D3EB343"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03398DFF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2372" w:type="dxa"/>
            <w:vAlign w:val="top"/>
          </w:tcPr>
          <w:p w14:paraId="06F98124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</w:tr>
      <w:tr w14:paraId="79664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042DDAC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  <w:bottom w:val="nil"/>
            </w:tcBorders>
            <w:vAlign w:val="top"/>
          </w:tcPr>
          <w:p w14:paraId="33C7864F">
            <w:pPr>
              <w:pStyle w:val="6"/>
            </w:pPr>
          </w:p>
        </w:tc>
        <w:tc>
          <w:tcPr>
            <w:tcW w:w="1738" w:type="dxa"/>
            <w:vAlign w:val="top"/>
          </w:tcPr>
          <w:p w14:paraId="59FC9AA7">
            <w:pPr>
              <w:spacing w:before="176" w:line="219" w:lineRule="auto"/>
              <w:ind w:left="9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政府采购执行率</w:t>
            </w:r>
          </w:p>
        </w:tc>
        <w:tc>
          <w:tcPr>
            <w:tcW w:w="1398" w:type="dxa"/>
            <w:vAlign w:val="top"/>
          </w:tcPr>
          <w:p w14:paraId="04D85088"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081A28E5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2372" w:type="dxa"/>
            <w:vAlign w:val="top"/>
          </w:tcPr>
          <w:p w14:paraId="5BEF0971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  <w:tr w14:paraId="57227C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44" w:type="dxa"/>
            <w:vMerge w:val="continue"/>
            <w:tcBorders>
              <w:top w:val="nil"/>
            </w:tcBorders>
            <w:textDirection w:val="tbRlV"/>
            <w:vAlign w:val="top"/>
          </w:tcPr>
          <w:p w14:paraId="1012F11D">
            <w:pPr>
              <w:pStyle w:val="6"/>
            </w:pPr>
          </w:p>
        </w:tc>
        <w:tc>
          <w:tcPr>
            <w:tcW w:w="1419" w:type="dxa"/>
            <w:vMerge w:val="continue"/>
            <w:tcBorders>
              <w:top w:val="nil"/>
            </w:tcBorders>
            <w:vAlign w:val="top"/>
          </w:tcPr>
          <w:p w14:paraId="2D033033">
            <w:pPr>
              <w:pStyle w:val="6"/>
            </w:pPr>
          </w:p>
        </w:tc>
        <w:tc>
          <w:tcPr>
            <w:tcW w:w="1738" w:type="dxa"/>
            <w:vAlign w:val="top"/>
          </w:tcPr>
          <w:p w14:paraId="0D037343">
            <w:pPr>
              <w:spacing w:before="68" w:line="208" w:lineRule="auto"/>
              <w:ind w:left="641" w:right="84" w:hanging="55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非税收入预算完</w:t>
            </w: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成率</w:t>
            </w:r>
          </w:p>
        </w:tc>
        <w:tc>
          <w:tcPr>
            <w:tcW w:w="1398" w:type="dxa"/>
            <w:vAlign w:val="top"/>
          </w:tcPr>
          <w:p w14:paraId="636B3653">
            <w:r>
              <w:rPr>
                <w:rFonts w:hint="eastAsia" w:eastAsia="宋体"/>
                <w:lang w:val="en-US" w:eastAsia="zh-CN"/>
              </w:rPr>
              <w:t>绩效基本型</w:t>
            </w:r>
          </w:p>
        </w:tc>
        <w:tc>
          <w:tcPr>
            <w:tcW w:w="1558" w:type="dxa"/>
            <w:vAlign w:val="top"/>
          </w:tcPr>
          <w:p w14:paraId="087D9618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2372" w:type="dxa"/>
            <w:vAlign w:val="top"/>
          </w:tcPr>
          <w:p w14:paraId="3D1945C2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</w:tbl>
    <w:p w14:paraId="2DE168CB">
      <w:pPr>
        <w:rPr>
          <w:rFonts w:ascii="Arial"/>
          <w:sz w:val="21"/>
        </w:rPr>
      </w:pPr>
    </w:p>
    <w:p w14:paraId="46D5785B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850" w:h="16780"/>
          <w:pgMar w:top="1426" w:right="1565" w:bottom="1345" w:left="1045" w:header="0" w:footer="1138" w:gutter="0"/>
          <w:cols w:space="720" w:num="1"/>
        </w:sectPr>
      </w:pPr>
    </w:p>
    <w:p w14:paraId="47F17CB3">
      <w:pPr>
        <w:spacing w:before="46"/>
      </w:pPr>
    </w:p>
    <w:p w14:paraId="440D26E1">
      <w:pPr>
        <w:spacing w:before="46"/>
      </w:pPr>
    </w:p>
    <w:p w14:paraId="793731D6">
      <w:pPr>
        <w:spacing w:before="45"/>
      </w:pPr>
    </w:p>
    <w:p w14:paraId="7D32B7E0">
      <w:pPr>
        <w:spacing w:before="45"/>
      </w:pPr>
    </w:p>
    <w:tbl>
      <w:tblPr>
        <w:tblStyle w:val="5"/>
        <w:tblW w:w="92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579"/>
        <w:gridCol w:w="1539"/>
        <w:gridCol w:w="1818"/>
        <w:gridCol w:w="1668"/>
        <w:gridCol w:w="2582"/>
      </w:tblGrid>
      <w:tr w14:paraId="597453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34" w:type="dxa"/>
            <w:vMerge w:val="restart"/>
            <w:tcBorders>
              <w:bottom w:val="nil"/>
            </w:tcBorders>
            <w:vAlign w:val="top"/>
          </w:tcPr>
          <w:p w14:paraId="46FE2EBC">
            <w:pPr>
              <w:pStyle w:val="6"/>
            </w:pPr>
          </w:p>
        </w:tc>
        <w:tc>
          <w:tcPr>
            <w:tcW w:w="579" w:type="dxa"/>
            <w:vMerge w:val="restart"/>
            <w:tcBorders>
              <w:bottom w:val="nil"/>
            </w:tcBorders>
            <w:vAlign w:val="top"/>
          </w:tcPr>
          <w:p w14:paraId="152BF2DF">
            <w:pPr>
              <w:pStyle w:val="6"/>
            </w:pP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26BE9FA2">
            <w:pPr>
              <w:pStyle w:val="6"/>
            </w:pPr>
          </w:p>
          <w:p w14:paraId="731A1339">
            <w:pPr>
              <w:pStyle w:val="6"/>
            </w:pPr>
          </w:p>
          <w:p w14:paraId="249F2F2B">
            <w:pPr>
              <w:pStyle w:val="6"/>
            </w:pPr>
          </w:p>
          <w:p w14:paraId="10F3C54A">
            <w:pPr>
              <w:pStyle w:val="6"/>
            </w:pPr>
          </w:p>
          <w:p w14:paraId="6F446270">
            <w:pPr>
              <w:pStyle w:val="6"/>
              <w:spacing w:line="241" w:lineRule="auto"/>
            </w:pPr>
          </w:p>
          <w:p w14:paraId="5D8E060F">
            <w:pPr>
              <w:spacing w:before="65" w:line="219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绩效管理</w:t>
            </w:r>
          </w:p>
        </w:tc>
        <w:tc>
          <w:tcPr>
            <w:tcW w:w="1818" w:type="dxa"/>
            <w:vAlign w:val="top"/>
          </w:tcPr>
          <w:p w14:paraId="29568F2C">
            <w:pPr>
              <w:spacing w:before="171" w:line="218" w:lineRule="auto"/>
              <w:ind w:right="1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事前绩效评估完成率</w:t>
            </w:r>
          </w:p>
        </w:tc>
        <w:tc>
          <w:tcPr>
            <w:tcW w:w="1668" w:type="dxa"/>
            <w:vAlign w:val="top"/>
          </w:tcPr>
          <w:p w14:paraId="74EC5BF4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2582" w:type="dxa"/>
            <w:vAlign w:val="top"/>
          </w:tcPr>
          <w:p w14:paraId="25811D56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  <w:tr w14:paraId="73E77D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660355C6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093F16C6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04841B53">
            <w:pPr>
              <w:pStyle w:val="6"/>
            </w:pPr>
          </w:p>
        </w:tc>
        <w:tc>
          <w:tcPr>
            <w:tcW w:w="1818" w:type="dxa"/>
            <w:vAlign w:val="top"/>
          </w:tcPr>
          <w:p w14:paraId="53899C90">
            <w:pPr>
              <w:spacing w:before="168" w:line="220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绩效目标合理性</w:t>
            </w:r>
          </w:p>
        </w:tc>
        <w:tc>
          <w:tcPr>
            <w:tcW w:w="1668" w:type="dxa"/>
            <w:vAlign w:val="top"/>
          </w:tcPr>
          <w:p w14:paraId="103FCAA1"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合理</w:t>
            </w:r>
          </w:p>
        </w:tc>
        <w:tc>
          <w:tcPr>
            <w:tcW w:w="2582" w:type="dxa"/>
            <w:vAlign w:val="top"/>
          </w:tcPr>
          <w:p w14:paraId="6FDF53E4">
            <w:pPr>
              <w:pStyle w:val="6"/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合理</w:t>
            </w:r>
          </w:p>
        </w:tc>
      </w:tr>
      <w:tr w14:paraId="2FBB58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32E8C37A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6B518DD6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658A08EA">
            <w:pPr>
              <w:pStyle w:val="6"/>
            </w:pPr>
          </w:p>
        </w:tc>
        <w:tc>
          <w:tcPr>
            <w:tcW w:w="1818" w:type="dxa"/>
            <w:vAlign w:val="top"/>
          </w:tcPr>
          <w:p w14:paraId="0A54CDBD">
            <w:pPr>
              <w:spacing w:before="168" w:line="219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绩效监控开展率</w:t>
            </w:r>
          </w:p>
        </w:tc>
        <w:tc>
          <w:tcPr>
            <w:tcW w:w="1668" w:type="dxa"/>
            <w:vAlign w:val="top"/>
          </w:tcPr>
          <w:p w14:paraId="7179B308">
            <w:pPr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2582" w:type="dxa"/>
            <w:vAlign w:val="top"/>
          </w:tcPr>
          <w:p w14:paraId="187542A1">
            <w:pPr>
              <w:pStyle w:val="6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  <w:tr w14:paraId="38F03C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3502EA70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79EE3EFC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53A7FCB1">
            <w:pPr>
              <w:pStyle w:val="6"/>
            </w:pPr>
          </w:p>
        </w:tc>
        <w:tc>
          <w:tcPr>
            <w:tcW w:w="1818" w:type="dxa"/>
            <w:vAlign w:val="top"/>
          </w:tcPr>
          <w:p w14:paraId="3C4EF746">
            <w:pPr>
              <w:spacing w:before="166" w:line="218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绩效评价覆盖率</w:t>
            </w:r>
          </w:p>
        </w:tc>
        <w:tc>
          <w:tcPr>
            <w:tcW w:w="1668" w:type="dxa"/>
            <w:vAlign w:val="top"/>
          </w:tcPr>
          <w:p w14:paraId="5DC5108C">
            <w:pPr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2582" w:type="dxa"/>
            <w:vAlign w:val="top"/>
          </w:tcPr>
          <w:p w14:paraId="1201E2E7">
            <w:pPr>
              <w:pStyle w:val="6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  <w:tr w14:paraId="6AEC1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586B67CD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3E5C1C79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</w:tcBorders>
            <w:vAlign w:val="top"/>
          </w:tcPr>
          <w:p w14:paraId="5201537D">
            <w:pPr>
              <w:pStyle w:val="6"/>
            </w:pPr>
          </w:p>
        </w:tc>
        <w:tc>
          <w:tcPr>
            <w:tcW w:w="1818" w:type="dxa"/>
            <w:vAlign w:val="top"/>
          </w:tcPr>
          <w:p w14:paraId="4A92C361">
            <w:pPr>
              <w:spacing w:before="167" w:line="218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评价结果应用率</w:t>
            </w:r>
          </w:p>
        </w:tc>
        <w:tc>
          <w:tcPr>
            <w:tcW w:w="1668" w:type="dxa"/>
            <w:vAlign w:val="top"/>
          </w:tcPr>
          <w:p w14:paraId="61E1720F">
            <w:pPr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2582" w:type="dxa"/>
            <w:vAlign w:val="top"/>
          </w:tcPr>
          <w:p w14:paraId="1B9C3185">
            <w:pPr>
              <w:pStyle w:val="6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</w:tr>
      <w:tr w14:paraId="256AD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2772D81C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78ADFEE9">
            <w:pPr>
              <w:pStyle w:val="6"/>
            </w:pP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326E3842">
            <w:pPr>
              <w:pStyle w:val="6"/>
              <w:spacing w:line="372" w:lineRule="auto"/>
            </w:pPr>
          </w:p>
          <w:p w14:paraId="18D53FFF">
            <w:pPr>
              <w:spacing w:before="65" w:line="219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资产管理</w:t>
            </w:r>
          </w:p>
        </w:tc>
        <w:tc>
          <w:tcPr>
            <w:tcW w:w="1818" w:type="dxa"/>
            <w:vAlign w:val="top"/>
          </w:tcPr>
          <w:p w14:paraId="6FDA1FDF">
            <w:pPr>
              <w:spacing w:before="169" w:line="219" w:lineRule="auto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资产管理制度健全性</w:t>
            </w:r>
          </w:p>
        </w:tc>
        <w:tc>
          <w:tcPr>
            <w:tcW w:w="1668" w:type="dxa"/>
            <w:vAlign w:val="top"/>
          </w:tcPr>
          <w:p w14:paraId="2C7E7286"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健全</w:t>
            </w:r>
          </w:p>
        </w:tc>
        <w:tc>
          <w:tcPr>
            <w:tcW w:w="2582" w:type="dxa"/>
            <w:vAlign w:val="top"/>
          </w:tcPr>
          <w:p w14:paraId="6691D279">
            <w:pPr>
              <w:pStyle w:val="6"/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健全</w:t>
            </w:r>
          </w:p>
        </w:tc>
      </w:tr>
      <w:tr w14:paraId="35E83D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39DA06E2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0616D80B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</w:tcBorders>
            <w:vAlign w:val="top"/>
          </w:tcPr>
          <w:p w14:paraId="1342DAAA">
            <w:pPr>
              <w:pStyle w:val="6"/>
            </w:pPr>
          </w:p>
        </w:tc>
        <w:tc>
          <w:tcPr>
            <w:tcW w:w="1818" w:type="dxa"/>
            <w:vAlign w:val="top"/>
          </w:tcPr>
          <w:p w14:paraId="64A972A7">
            <w:pPr>
              <w:spacing w:before="169" w:line="219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资产管理规范性</w:t>
            </w:r>
          </w:p>
        </w:tc>
        <w:tc>
          <w:tcPr>
            <w:tcW w:w="1668" w:type="dxa"/>
            <w:vAlign w:val="top"/>
          </w:tcPr>
          <w:p w14:paraId="7B8729E2"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规范</w:t>
            </w:r>
          </w:p>
        </w:tc>
        <w:tc>
          <w:tcPr>
            <w:tcW w:w="2582" w:type="dxa"/>
            <w:vAlign w:val="top"/>
          </w:tcPr>
          <w:p w14:paraId="337272A3">
            <w:pPr>
              <w:pStyle w:val="6"/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规范</w:t>
            </w:r>
          </w:p>
        </w:tc>
      </w:tr>
      <w:tr w14:paraId="7BFC2D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034C0727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3A9940C2">
            <w:pPr>
              <w:pStyle w:val="6"/>
            </w:pP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10FF128C">
            <w:pPr>
              <w:pStyle w:val="6"/>
              <w:spacing w:line="325" w:lineRule="auto"/>
            </w:pPr>
          </w:p>
          <w:p w14:paraId="120AF8FC">
            <w:pPr>
              <w:pStyle w:val="6"/>
              <w:spacing w:line="326" w:lineRule="auto"/>
            </w:pPr>
          </w:p>
          <w:p w14:paraId="64266330">
            <w:pPr>
              <w:spacing w:before="65" w:line="219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财务管理</w:t>
            </w:r>
          </w:p>
        </w:tc>
        <w:tc>
          <w:tcPr>
            <w:tcW w:w="1818" w:type="dxa"/>
            <w:vAlign w:val="top"/>
          </w:tcPr>
          <w:p w14:paraId="3C1B2DE4">
            <w:pPr>
              <w:spacing w:before="170" w:line="219" w:lineRule="auto"/>
              <w:ind w:left="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财务管理制度健全性</w:t>
            </w:r>
          </w:p>
        </w:tc>
        <w:tc>
          <w:tcPr>
            <w:tcW w:w="1668" w:type="dxa"/>
            <w:vAlign w:val="top"/>
          </w:tcPr>
          <w:p w14:paraId="7D2D2F43"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健全</w:t>
            </w:r>
          </w:p>
        </w:tc>
        <w:tc>
          <w:tcPr>
            <w:tcW w:w="2582" w:type="dxa"/>
            <w:vAlign w:val="top"/>
          </w:tcPr>
          <w:p w14:paraId="1078BB4F">
            <w:pPr>
              <w:pStyle w:val="6"/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健全</w:t>
            </w:r>
          </w:p>
        </w:tc>
      </w:tr>
      <w:tr w14:paraId="3F77A6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0578FF9B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4CD8D87A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790D441A">
            <w:pPr>
              <w:pStyle w:val="6"/>
            </w:pPr>
          </w:p>
        </w:tc>
        <w:tc>
          <w:tcPr>
            <w:tcW w:w="1818" w:type="dxa"/>
            <w:vAlign w:val="top"/>
          </w:tcPr>
          <w:p w14:paraId="6B3061C5">
            <w:pPr>
              <w:spacing w:before="169" w:line="219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会计核算规范性</w:t>
            </w:r>
          </w:p>
        </w:tc>
        <w:tc>
          <w:tcPr>
            <w:tcW w:w="1668" w:type="dxa"/>
            <w:vAlign w:val="top"/>
          </w:tcPr>
          <w:p w14:paraId="4C90BF5F"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规范</w:t>
            </w:r>
          </w:p>
        </w:tc>
        <w:tc>
          <w:tcPr>
            <w:tcW w:w="2582" w:type="dxa"/>
            <w:vAlign w:val="top"/>
          </w:tcPr>
          <w:p w14:paraId="3B2D8CBF">
            <w:pPr>
              <w:pStyle w:val="6"/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规范</w:t>
            </w:r>
          </w:p>
        </w:tc>
      </w:tr>
      <w:tr w14:paraId="219DAB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07B48775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</w:tcBorders>
            <w:vAlign w:val="top"/>
          </w:tcPr>
          <w:p w14:paraId="1C04EC9C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</w:tcBorders>
            <w:vAlign w:val="top"/>
          </w:tcPr>
          <w:p w14:paraId="5997AE13">
            <w:pPr>
              <w:pStyle w:val="6"/>
            </w:pPr>
          </w:p>
        </w:tc>
        <w:tc>
          <w:tcPr>
            <w:tcW w:w="1818" w:type="dxa"/>
            <w:vAlign w:val="top"/>
          </w:tcPr>
          <w:p w14:paraId="6F2533CF">
            <w:pPr>
              <w:spacing w:before="181" w:line="219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资金使用合规性</w:t>
            </w:r>
          </w:p>
        </w:tc>
        <w:tc>
          <w:tcPr>
            <w:tcW w:w="1668" w:type="dxa"/>
            <w:vAlign w:val="top"/>
          </w:tcPr>
          <w:p w14:paraId="4B23B7C7"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合规</w:t>
            </w:r>
          </w:p>
        </w:tc>
        <w:tc>
          <w:tcPr>
            <w:tcW w:w="2582" w:type="dxa"/>
            <w:vAlign w:val="top"/>
          </w:tcPr>
          <w:p w14:paraId="315A70E4">
            <w:pPr>
              <w:pStyle w:val="6"/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合规</w:t>
            </w:r>
          </w:p>
        </w:tc>
      </w:tr>
      <w:tr w14:paraId="2B8F6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51B058EE">
            <w:pPr>
              <w:pStyle w:val="6"/>
            </w:pPr>
          </w:p>
        </w:tc>
        <w:tc>
          <w:tcPr>
            <w:tcW w:w="579" w:type="dxa"/>
            <w:vMerge w:val="restart"/>
            <w:vAlign w:val="top"/>
          </w:tcPr>
          <w:p w14:paraId="1A6F8C08">
            <w:pPr>
              <w:pStyle w:val="6"/>
              <w:spacing w:line="277" w:lineRule="auto"/>
            </w:pPr>
          </w:p>
          <w:p w14:paraId="721CB924">
            <w:pPr>
              <w:spacing w:before="65" w:line="248" w:lineRule="auto"/>
              <w:ind w:left="80" w:right="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履职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效能</w:t>
            </w:r>
          </w:p>
        </w:tc>
        <w:tc>
          <w:tcPr>
            <w:tcW w:w="1539" w:type="dxa"/>
            <w:vAlign w:val="top"/>
          </w:tcPr>
          <w:p w14:paraId="725137DC">
            <w:pPr>
              <w:spacing w:before="132" w:line="219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核心业务产出1</w:t>
            </w:r>
          </w:p>
        </w:tc>
        <w:tc>
          <w:tcPr>
            <w:tcW w:w="1818" w:type="dxa"/>
            <w:vAlign w:val="top"/>
          </w:tcPr>
          <w:p w14:paraId="6AA223DB">
            <w:pPr>
              <w:pStyle w:val="6"/>
              <w:jc w:val="center"/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  <w:t>努力促进优质教育资源扩容</w:t>
            </w:r>
          </w:p>
        </w:tc>
        <w:tc>
          <w:tcPr>
            <w:tcW w:w="1668" w:type="dxa"/>
            <w:vAlign w:val="top"/>
          </w:tcPr>
          <w:p w14:paraId="4140CF0E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加大建设投入，改善办学条件，教育资源配置更优更强</w:t>
            </w:r>
            <w:r>
              <w:rPr>
                <w:rFonts w:hint="eastAsia" w:eastAsia="宋体"/>
                <w:lang w:eastAsia="zh-CN"/>
              </w:rPr>
              <w:t>。</w:t>
            </w:r>
          </w:p>
        </w:tc>
        <w:tc>
          <w:tcPr>
            <w:tcW w:w="2582" w:type="dxa"/>
            <w:vAlign w:val="top"/>
          </w:tcPr>
          <w:p w14:paraId="5FC3D69C">
            <w:pPr>
              <w:pStyle w:val="6"/>
            </w:pPr>
            <w:r>
              <w:rPr>
                <w:rFonts w:hint="eastAsia"/>
              </w:rPr>
              <w:t>钟家村方岛小学、钟家村滨江小学投入使用，5所学校实施改扩建，传统名校老旧改造启动，新增学位4000余个，全区学校办学品质进一步提升。</w:t>
            </w:r>
          </w:p>
        </w:tc>
      </w:tr>
      <w:tr w14:paraId="04D59A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51A681B8">
            <w:pPr>
              <w:pStyle w:val="6"/>
            </w:pPr>
          </w:p>
        </w:tc>
        <w:tc>
          <w:tcPr>
            <w:tcW w:w="579" w:type="dxa"/>
            <w:vMerge w:val="continue"/>
            <w:vAlign w:val="top"/>
          </w:tcPr>
          <w:p w14:paraId="16A8D056">
            <w:pPr>
              <w:pStyle w:val="6"/>
            </w:pPr>
          </w:p>
        </w:tc>
        <w:tc>
          <w:tcPr>
            <w:tcW w:w="1539" w:type="dxa"/>
            <w:vAlign w:val="top"/>
          </w:tcPr>
          <w:p w14:paraId="27B6664E">
            <w:pPr>
              <w:spacing w:before="113" w:line="219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核心业务产出2</w:t>
            </w:r>
          </w:p>
        </w:tc>
        <w:tc>
          <w:tcPr>
            <w:tcW w:w="1818" w:type="dxa"/>
            <w:vAlign w:val="top"/>
          </w:tcPr>
          <w:p w14:paraId="7ADFC391">
            <w:pPr>
              <w:pStyle w:val="6"/>
              <w:jc w:val="center"/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  <w:t>始终坚持为党育人为国育才</w:t>
            </w:r>
          </w:p>
        </w:tc>
        <w:tc>
          <w:tcPr>
            <w:tcW w:w="1668" w:type="dxa"/>
            <w:vAlign w:val="top"/>
          </w:tcPr>
          <w:p w14:paraId="1F6A0373">
            <w:pPr>
              <w:pStyle w:val="6"/>
            </w:pPr>
            <w:r>
              <w:rPr>
                <w:rFonts w:hint="eastAsia"/>
              </w:rPr>
              <w:t>创新特色发展，力促公平优质，整体办学水平更高更稳。</w:t>
            </w:r>
          </w:p>
        </w:tc>
        <w:tc>
          <w:tcPr>
            <w:tcW w:w="2582" w:type="dxa"/>
            <w:vAlign w:val="top"/>
          </w:tcPr>
          <w:p w14:paraId="5F6D5C5B">
            <w:pPr>
              <w:pStyle w:val="6"/>
            </w:pPr>
            <w:r>
              <w:rPr>
                <w:rFonts w:hint="eastAsia"/>
              </w:rPr>
              <w:t>着力实施五育并举，汉阳区成功入选“全国中小学科学教育实验区”。参加教育部“基础教育精品课”遴选，获部级精品课13节。参加“湖北好教研”评比，获省一等奖3项、市一等奖7项。3篇案例入选湖北省学校落实“双减”典型案例。二桥中学获评湖北省义务教育教学改革实验校。举办“晴川大先生 汉阳好课堂”教学展示活动，39位名特优教师积极参与。建港中学获评“中央电教馆中小学虚拟教学培训基地”，弘桥中学、三初中、群建小学、芳草小学斩获全国啦啦操联赛7项团体冠军，德才小学、23高中获评市级国际理解示范校，西大英才小学、七里中学获评市级“绿色生态学校”。</w:t>
            </w:r>
          </w:p>
        </w:tc>
      </w:tr>
      <w:tr w14:paraId="218D8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7D67228C">
            <w:pPr>
              <w:pStyle w:val="6"/>
            </w:pPr>
          </w:p>
        </w:tc>
        <w:tc>
          <w:tcPr>
            <w:tcW w:w="579" w:type="dxa"/>
            <w:vMerge w:val="continue"/>
            <w:vAlign w:val="top"/>
          </w:tcPr>
          <w:p w14:paraId="1E3A92EE">
            <w:pPr>
              <w:pStyle w:val="6"/>
            </w:pPr>
          </w:p>
        </w:tc>
        <w:tc>
          <w:tcPr>
            <w:tcW w:w="1539" w:type="dxa"/>
            <w:vAlign w:val="center"/>
          </w:tcPr>
          <w:p w14:paraId="580C201B">
            <w:pPr>
              <w:pStyle w:val="6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核心业务产出</w:t>
            </w: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818" w:type="dxa"/>
            <w:vAlign w:val="top"/>
          </w:tcPr>
          <w:p w14:paraId="105BB990">
            <w:pPr>
              <w:pStyle w:val="6"/>
              <w:jc w:val="center"/>
              <w:rPr>
                <w:rFonts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  <w:t>着力狠抓干部教师队伍建设</w:t>
            </w:r>
          </w:p>
        </w:tc>
        <w:tc>
          <w:tcPr>
            <w:tcW w:w="1668" w:type="dxa"/>
            <w:vAlign w:val="top"/>
          </w:tcPr>
          <w:p w14:paraId="3FB04E96">
            <w:pPr>
              <w:pStyle w:val="6"/>
            </w:pPr>
            <w:r>
              <w:rPr>
                <w:rFonts w:hint="eastAsia"/>
              </w:rPr>
              <w:t>加强教师队伍建设，锤炼工匠之师。</w:t>
            </w:r>
          </w:p>
        </w:tc>
        <w:tc>
          <w:tcPr>
            <w:tcW w:w="2582" w:type="dxa"/>
            <w:vAlign w:val="top"/>
          </w:tcPr>
          <w:p w14:paraId="1B95420A">
            <w:pPr>
              <w:pStyle w:val="6"/>
            </w:pPr>
            <w:r>
              <w:rPr>
                <w:rFonts w:hint="eastAsia"/>
              </w:rPr>
              <w:t>坚持开展有偿补课专项治理，定期组织师德集中教育，举办晴川讲坛师德报告会。在重点领域、重要工作、重大活动中发挥党员模范作用，涌现出以“书信校长”韦莉为代表的一批先锋模范。武汉三中肖晓萍获评“楚天名师”，三职教中心罗正丽获评“楚天园丁奖”，玫瑰二幼吴炎坤获评省教育工作先进个人，武汉三中赵高峰、玫瑰园小学姜欢入选武汉英才教育培支专项计划，武汉三中盛宣获评武汉市“最美教师”，全年选树各级各类教师先进典型300余人。</w:t>
            </w:r>
          </w:p>
        </w:tc>
      </w:tr>
      <w:tr w14:paraId="7E0C1B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1B7A361C">
            <w:pPr>
              <w:pStyle w:val="6"/>
            </w:pPr>
          </w:p>
        </w:tc>
        <w:tc>
          <w:tcPr>
            <w:tcW w:w="579" w:type="dxa"/>
            <w:vMerge w:val="continue"/>
            <w:vAlign w:val="top"/>
          </w:tcPr>
          <w:p w14:paraId="7C36E57E">
            <w:pPr>
              <w:pStyle w:val="6"/>
            </w:pPr>
          </w:p>
        </w:tc>
        <w:tc>
          <w:tcPr>
            <w:tcW w:w="1539" w:type="dxa"/>
            <w:vAlign w:val="center"/>
          </w:tcPr>
          <w:p w14:paraId="15313060">
            <w:pPr>
              <w:jc w:val="center"/>
              <w:rPr>
                <w:rFonts w:ascii="宋体" w:hAnsi="宋体" w:eastAsia="宋体" w:cs="宋体"/>
                <w:spacing w:val="1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核心业务产出</w:t>
            </w: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818" w:type="dxa"/>
            <w:vAlign w:val="top"/>
          </w:tcPr>
          <w:p w14:paraId="1F6C4D67">
            <w:pPr>
              <w:pStyle w:val="6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0"/>
                <w:szCs w:val="20"/>
                <w:lang w:val="en-US" w:eastAsia="en-US" w:bidi="ar-SA"/>
              </w:rPr>
              <w:t>持续加强党对教育全面领导</w:t>
            </w:r>
          </w:p>
        </w:tc>
        <w:tc>
          <w:tcPr>
            <w:tcW w:w="1668" w:type="dxa"/>
            <w:vAlign w:val="top"/>
          </w:tcPr>
          <w:p w14:paraId="47A08F0A">
            <w:pPr>
              <w:pStyle w:val="6"/>
            </w:pPr>
            <w:r>
              <w:rPr>
                <w:rFonts w:hint="eastAsia"/>
              </w:rPr>
              <w:t>充分发挥党组织战斗堡垒作用和引领作用，将党的领导融入学校课程教学、教师研修发展、学生全面培养、学校文化建设、家校社协同育人等方方面面。</w:t>
            </w:r>
          </w:p>
        </w:tc>
        <w:tc>
          <w:tcPr>
            <w:tcW w:w="2582" w:type="dxa"/>
            <w:vAlign w:val="top"/>
          </w:tcPr>
          <w:p w14:paraId="340279C2">
            <w:pPr>
              <w:pStyle w:val="6"/>
            </w:pPr>
            <w:r>
              <w:rPr>
                <w:rFonts w:hint="eastAsia"/>
              </w:rPr>
              <w:t>推进党组织领导的校长负责制提质扩面，选优配强专职书记或专职副书记74名。修订完善局党委和各校党组织议事规则，全面厘清党组织会议和校长办公会权责边界。持续擦亮教育党建“三心”品牌和青少年党史教育“三红”品牌，引导汉阳学子赓续百年红色精神血脉。深入推进</w:t>
            </w:r>
            <w:r>
              <w:rPr>
                <w:rFonts w:hint="eastAsia" w:eastAsia="宋体"/>
                <w:lang w:val="en-US" w:eastAsia="zh-CN"/>
              </w:rPr>
              <w:t>党的</w:t>
            </w:r>
            <w:bookmarkStart w:id="0" w:name="_GoBack"/>
            <w:r>
              <w:rPr>
                <w:rFonts w:hint="eastAsia" w:eastAsia="宋体"/>
                <w:lang w:val="en-US" w:eastAsia="zh-CN"/>
              </w:rPr>
              <w:t>二十大</w:t>
            </w:r>
            <w:bookmarkEnd w:id="0"/>
            <w:r>
              <w:rPr>
                <w:rFonts w:hint="eastAsia"/>
              </w:rPr>
              <w:t>宣讲进校园、进课堂、进头脑，教育系统“最美思政课”宣讲队线下线上开展宣讲近30场次。</w:t>
            </w:r>
          </w:p>
        </w:tc>
      </w:tr>
      <w:tr w14:paraId="045FDF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17696872">
            <w:pPr>
              <w:pStyle w:val="6"/>
            </w:pPr>
          </w:p>
        </w:tc>
        <w:tc>
          <w:tcPr>
            <w:tcW w:w="579" w:type="dxa"/>
            <w:vMerge w:val="restart"/>
            <w:tcBorders>
              <w:bottom w:val="nil"/>
            </w:tcBorders>
            <w:vAlign w:val="top"/>
          </w:tcPr>
          <w:p w14:paraId="32949B92">
            <w:pPr>
              <w:pStyle w:val="6"/>
              <w:spacing w:line="425" w:lineRule="auto"/>
            </w:pPr>
          </w:p>
          <w:p w14:paraId="57A2CB2D">
            <w:pPr>
              <w:spacing w:before="65" w:line="258" w:lineRule="auto"/>
              <w:ind w:left="80" w:right="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社会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效应</w:t>
            </w:r>
          </w:p>
        </w:tc>
        <w:tc>
          <w:tcPr>
            <w:tcW w:w="1539" w:type="dxa"/>
            <w:vAlign w:val="top"/>
          </w:tcPr>
          <w:p w14:paraId="5B8655C3">
            <w:pPr>
              <w:spacing w:before="173" w:line="220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经济效益</w:t>
            </w:r>
          </w:p>
        </w:tc>
        <w:tc>
          <w:tcPr>
            <w:tcW w:w="1818" w:type="dxa"/>
            <w:vAlign w:val="top"/>
          </w:tcPr>
          <w:p w14:paraId="4F9F2EDB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优质的汉阳教育水平成为汉阳区的招商“明信片”</w:t>
            </w:r>
          </w:p>
        </w:tc>
        <w:tc>
          <w:tcPr>
            <w:tcW w:w="1668" w:type="dxa"/>
            <w:vAlign w:val="top"/>
          </w:tcPr>
          <w:p w14:paraId="282DA8FB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  <w:tc>
          <w:tcPr>
            <w:tcW w:w="2582" w:type="dxa"/>
            <w:vAlign w:val="top"/>
          </w:tcPr>
          <w:p w14:paraId="052974FC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</w:tr>
      <w:tr w14:paraId="3FDE31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69660376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6B0DD287">
            <w:pPr>
              <w:pStyle w:val="6"/>
            </w:pPr>
          </w:p>
        </w:tc>
        <w:tc>
          <w:tcPr>
            <w:tcW w:w="1539" w:type="dxa"/>
            <w:vAlign w:val="top"/>
          </w:tcPr>
          <w:p w14:paraId="6652F332">
            <w:pPr>
              <w:spacing w:before="173" w:line="219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社会效益</w:t>
            </w:r>
          </w:p>
        </w:tc>
        <w:tc>
          <w:tcPr>
            <w:tcW w:w="1818" w:type="dxa"/>
            <w:vAlign w:val="top"/>
          </w:tcPr>
          <w:p w14:paraId="7476F36D">
            <w:pPr>
              <w:pStyle w:val="6"/>
            </w:pPr>
            <w:r>
              <w:rPr>
                <w:rFonts w:hint="eastAsia"/>
              </w:rPr>
              <w:t>满足汉阳区学位供给要求</w:t>
            </w:r>
          </w:p>
        </w:tc>
        <w:tc>
          <w:tcPr>
            <w:tcW w:w="1668" w:type="dxa"/>
            <w:vAlign w:val="center"/>
          </w:tcPr>
          <w:p w14:paraId="76AF4875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适龄儿童顺利入学</w:t>
            </w:r>
          </w:p>
        </w:tc>
        <w:tc>
          <w:tcPr>
            <w:tcW w:w="2582" w:type="dxa"/>
            <w:vAlign w:val="center"/>
          </w:tcPr>
          <w:p w14:paraId="6221E12F"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适龄儿童顺利入学</w:t>
            </w:r>
          </w:p>
        </w:tc>
      </w:tr>
      <w:tr w14:paraId="65F6D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5C9F5FEB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</w:tcBorders>
            <w:vAlign w:val="top"/>
          </w:tcPr>
          <w:p w14:paraId="38B535B5">
            <w:pPr>
              <w:pStyle w:val="6"/>
            </w:pPr>
          </w:p>
        </w:tc>
        <w:tc>
          <w:tcPr>
            <w:tcW w:w="1539" w:type="dxa"/>
            <w:vAlign w:val="top"/>
          </w:tcPr>
          <w:p w14:paraId="2DF0CFC3">
            <w:pPr>
              <w:spacing w:before="104" w:line="220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生态效益</w:t>
            </w:r>
          </w:p>
        </w:tc>
        <w:tc>
          <w:tcPr>
            <w:tcW w:w="1818" w:type="dxa"/>
            <w:vAlign w:val="top"/>
          </w:tcPr>
          <w:p w14:paraId="6C12915F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加强教育控制用地规划</w:t>
            </w:r>
          </w:p>
        </w:tc>
        <w:tc>
          <w:tcPr>
            <w:tcW w:w="1668" w:type="dxa"/>
            <w:vAlign w:val="top"/>
          </w:tcPr>
          <w:p w14:paraId="74B72887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  <w:tc>
          <w:tcPr>
            <w:tcW w:w="2582" w:type="dxa"/>
            <w:vAlign w:val="top"/>
          </w:tcPr>
          <w:p w14:paraId="2EF196DD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</w:tr>
      <w:tr w14:paraId="1299F3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08B0020C">
            <w:pPr>
              <w:pStyle w:val="6"/>
            </w:pPr>
          </w:p>
        </w:tc>
        <w:tc>
          <w:tcPr>
            <w:tcW w:w="579" w:type="dxa"/>
            <w:vMerge w:val="restart"/>
            <w:tcBorders>
              <w:bottom w:val="nil"/>
            </w:tcBorders>
            <w:vAlign w:val="top"/>
          </w:tcPr>
          <w:p w14:paraId="1CEB3253">
            <w:pPr>
              <w:pStyle w:val="6"/>
              <w:spacing w:line="241" w:lineRule="auto"/>
            </w:pPr>
          </w:p>
          <w:p w14:paraId="0799C3E1">
            <w:pPr>
              <w:pStyle w:val="6"/>
              <w:spacing w:line="241" w:lineRule="auto"/>
            </w:pPr>
          </w:p>
          <w:p w14:paraId="51F5B399">
            <w:pPr>
              <w:pStyle w:val="6"/>
              <w:spacing w:line="242" w:lineRule="auto"/>
            </w:pPr>
          </w:p>
          <w:p w14:paraId="12F9CCAE">
            <w:pPr>
              <w:pStyle w:val="6"/>
              <w:spacing w:line="242" w:lineRule="auto"/>
            </w:pPr>
          </w:p>
          <w:p w14:paraId="5F76624D">
            <w:pPr>
              <w:pStyle w:val="6"/>
              <w:spacing w:line="242" w:lineRule="auto"/>
            </w:pPr>
          </w:p>
          <w:p w14:paraId="0D531324">
            <w:pPr>
              <w:pStyle w:val="6"/>
              <w:spacing w:line="242" w:lineRule="auto"/>
            </w:pPr>
          </w:p>
          <w:p w14:paraId="56050A6E">
            <w:pPr>
              <w:spacing w:before="65" w:line="219" w:lineRule="auto"/>
              <w:ind w:left="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可持</w:t>
            </w:r>
          </w:p>
          <w:p w14:paraId="44E766CE">
            <w:pPr>
              <w:spacing w:before="63" w:line="220" w:lineRule="auto"/>
              <w:ind w:left="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续发</w:t>
            </w:r>
          </w:p>
          <w:p w14:paraId="7E74843F">
            <w:pPr>
              <w:spacing w:before="72" w:line="221" w:lineRule="auto"/>
              <w:ind w:left="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展能</w:t>
            </w:r>
          </w:p>
          <w:p w14:paraId="1ADF4EC4">
            <w:pPr>
              <w:spacing w:before="59" w:line="219" w:lineRule="auto"/>
              <w:ind w:left="1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力</w:t>
            </w: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13FC5350">
            <w:pPr>
              <w:pStyle w:val="6"/>
              <w:spacing w:line="375" w:lineRule="auto"/>
            </w:pPr>
          </w:p>
          <w:p w14:paraId="0145D764">
            <w:pPr>
              <w:spacing w:before="65" w:line="219" w:lineRule="auto"/>
              <w:ind w:left="1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体制机制改革</w:t>
            </w:r>
          </w:p>
        </w:tc>
        <w:tc>
          <w:tcPr>
            <w:tcW w:w="1818" w:type="dxa"/>
            <w:vAlign w:val="top"/>
          </w:tcPr>
          <w:p w14:paraId="5932129A">
            <w:pPr>
              <w:spacing w:before="174" w:line="219" w:lineRule="auto"/>
              <w:ind w:left="1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服务体制改革成效</w:t>
            </w:r>
          </w:p>
        </w:tc>
        <w:tc>
          <w:tcPr>
            <w:tcW w:w="1668" w:type="dxa"/>
            <w:vAlign w:val="top"/>
          </w:tcPr>
          <w:p w14:paraId="77146733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  <w:tc>
          <w:tcPr>
            <w:tcW w:w="2582" w:type="dxa"/>
            <w:vAlign w:val="top"/>
          </w:tcPr>
          <w:p w14:paraId="56779ACA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</w:tr>
      <w:tr w14:paraId="095A00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65B3A144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3093C9AD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</w:tcBorders>
            <w:vAlign w:val="top"/>
          </w:tcPr>
          <w:p w14:paraId="672A2F9B">
            <w:pPr>
              <w:pStyle w:val="6"/>
            </w:pPr>
          </w:p>
        </w:tc>
        <w:tc>
          <w:tcPr>
            <w:tcW w:w="1818" w:type="dxa"/>
            <w:vAlign w:val="top"/>
          </w:tcPr>
          <w:p w14:paraId="679FF97C">
            <w:pPr>
              <w:spacing w:before="75" w:line="210" w:lineRule="auto"/>
              <w:ind w:left="795" w:hanging="7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行政管理体制改革成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效</w:t>
            </w:r>
          </w:p>
        </w:tc>
        <w:tc>
          <w:tcPr>
            <w:tcW w:w="1668" w:type="dxa"/>
            <w:vAlign w:val="top"/>
          </w:tcPr>
          <w:p w14:paraId="5E845A2B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  <w:tc>
          <w:tcPr>
            <w:tcW w:w="2582" w:type="dxa"/>
            <w:vAlign w:val="top"/>
          </w:tcPr>
          <w:p w14:paraId="3768F1C6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完成</w:t>
            </w:r>
          </w:p>
        </w:tc>
      </w:tr>
      <w:tr w14:paraId="54072B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004585B2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37B7A961">
            <w:pPr>
              <w:pStyle w:val="6"/>
            </w:pPr>
          </w:p>
        </w:tc>
        <w:tc>
          <w:tcPr>
            <w:tcW w:w="1539" w:type="dxa"/>
            <w:vMerge w:val="restart"/>
            <w:tcBorders>
              <w:bottom w:val="nil"/>
            </w:tcBorders>
            <w:vAlign w:val="top"/>
          </w:tcPr>
          <w:p w14:paraId="534B4F93">
            <w:pPr>
              <w:pStyle w:val="6"/>
              <w:spacing w:line="271" w:lineRule="auto"/>
            </w:pPr>
          </w:p>
          <w:p w14:paraId="4542612B">
            <w:pPr>
              <w:pStyle w:val="6"/>
              <w:spacing w:line="271" w:lineRule="auto"/>
            </w:pPr>
          </w:p>
          <w:p w14:paraId="639D56F4">
            <w:pPr>
              <w:pStyle w:val="6"/>
              <w:spacing w:line="271" w:lineRule="auto"/>
            </w:pPr>
          </w:p>
          <w:p w14:paraId="175500D6">
            <w:pPr>
              <w:spacing w:before="65" w:line="219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人才支撑</w:t>
            </w:r>
          </w:p>
        </w:tc>
        <w:tc>
          <w:tcPr>
            <w:tcW w:w="1818" w:type="dxa"/>
            <w:vAlign w:val="top"/>
          </w:tcPr>
          <w:p w14:paraId="20C369AE">
            <w:pPr>
              <w:spacing w:before="64" w:line="215" w:lineRule="auto"/>
              <w:ind w:left="802" w:right="2" w:hanging="7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业务学习与培训完成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率</w:t>
            </w:r>
          </w:p>
        </w:tc>
        <w:tc>
          <w:tcPr>
            <w:tcW w:w="1668" w:type="dxa"/>
            <w:vAlign w:val="top"/>
          </w:tcPr>
          <w:p w14:paraId="5CDB2038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按培训计划实施</w:t>
            </w:r>
          </w:p>
        </w:tc>
        <w:tc>
          <w:tcPr>
            <w:tcW w:w="2582" w:type="dxa"/>
            <w:vAlign w:val="top"/>
          </w:tcPr>
          <w:p w14:paraId="7402699E">
            <w:pPr>
              <w:pStyle w:val="6"/>
            </w:pPr>
            <w:r>
              <w:rPr>
                <w:rFonts w:hint="eastAsia"/>
              </w:rPr>
              <w:t>深入实施干部队伍建设“3311计划”和领军教师“231培养工程”，培训1000余人次，形成“雁阵”齐飞的干部教师梯队。</w:t>
            </w:r>
          </w:p>
        </w:tc>
      </w:tr>
      <w:tr w14:paraId="1ACCA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78A161BE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1CFF0BE4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  <w:bottom w:val="nil"/>
            </w:tcBorders>
            <w:vAlign w:val="top"/>
          </w:tcPr>
          <w:p w14:paraId="2E4E6EBD">
            <w:pPr>
              <w:pStyle w:val="6"/>
            </w:pPr>
          </w:p>
        </w:tc>
        <w:tc>
          <w:tcPr>
            <w:tcW w:w="1818" w:type="dxa"/>
            <w:vAlign w:val="top"/>
          </w:tcPr>
          <w:p w14:paraId="5E00E8B9">
            <w:pPr>
              <w:spacing w:before="144" w:line="249" w:lineRule="auto"/>
              <w:ind w:left="602" w:right="2" w:hanging="5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干部队伍体系建设规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划情况</w:t>
            </w:r>
          </w:p>
        </w:tc>
        <w:tc>
          <w:tcPr>
            <w:tcW w:w="1668" w:type="dxa"/>
            <w:vAlign w:val="top"/>
          </w:tcPr>
          <w:p w14:paraId="38067D46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一是持续加强师德师风建设</w:t>
            </w:r>
            <w:r>
              <w:rPr>
                <w:rFonts w:hint="eastAsia" w:eastAsia="宋体"/>
                <w:lang w:eastAsia="zh-CN"/>
              </w:rPr>
              <w:t>；二是建设高素质专业化教师队伍；三是锻造堪当发展重任的干部队伍。</w:t>
            </w:r>
          </w:p>
        </w:tc>
        <w:tc>
          <w:tcPr>
            <w:tcW w:w="2582" w:type="dxa"/>
            <w:vAlign w:val="top"/>
          </w:tcPr>
          <w:p w14:paraId="4DF3AB58">
            <w:pPr>
              <w:pStyle w:val="6"/>
            </w:pPr>
            <w:r>
              <w:rPr>
                <w:rFonts w:hint="eastAsia"/>
              </w:rPr>
              <w:t>在“名师工作室”“青蓝工程”等工作中实行导师政治及业务“双引领双负责”，促进青年教师政治发展和业务提升“双优化双成长”。加大先进教师典型选树表彰力度。深化领军教师培养工程，提升骨干教师培训针对性和实效性。</w:t>
            </w:r>
          </w:p>
        </w:tc>
      </w:tr>
      <w:tr w14:paraId="707B24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2BA162CF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</w:tcBorders>
            <w:vAlign w:val="top"/>
          </w:tcPr>
          <w:p w14:paraId="0688A038">
            <w:pPr>
              <w:pStyle w:val="6"/>
            </w:pPr>
          </w:p>
        </w:tc>
        <w:tc>
          <w:tcPr>
            <w:tcW w:w="1539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345BA1AE">
            <w:pPr>
              <w:pStyle w:val="6"/>
            </w:pPr>
          </w:p>
        </w:tc>
        <w:tc>
          <w:tcPr>
            <w:tcW w:w="1818" w:type="dxa"/>
            <w:tcBorders>
              <w:bottom w:val="single" w:color="auto" w:sz="4" w:space="0"/>
            </w:tcBorders>
            <w:vAlign w:val="top"/>
          </w:tcPr>
          <w:p w14:paraId="7D0CB4B6">
            <w:pPr>
              <w:spacing w:before="55" w:line="237" w:lineRule="auto"/>
              <w:ind w:left="700" w:hanging="6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2"/>
                <w:sz w:val="20"/>
                <w:szCs w:val="20"/>
              </w:rPr>
              <w:t>高学</w:t>
            </w: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历.高层次人才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储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备率</w:t>
            </w:r>
          </w:p>
        </w:tc>
        <w:tc>
          <w:tcPr>
            <w:tcW w:w="1668" w:type="dxa"/>
            <w:vAlign w:val="top"/>
          </w:tcPr>
          <w:p w14:paraId="3385DE13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加强高层次人才培养</w:t>
            </w:r>
          </w:p>
        </w:tc>
        <w:tc>
          <w:tcPr>
            <w:tcW w:w="2582" w:type="dxa"/>
            <w:vAlign w:val="top"/>
          </w:tcPr>
          <w:p w14:paraId="39B0CE31">
            <w:pPr>
              <w:pStyle w:val="6"/>
            </w:pPr>
            <w:r>
              <w:rPr>
                <w:rFonts w:hint="eastAsia"/>
              </w:rPr>
              <w:t>强化骨干教师轮岗交流，促进优质师资均衡配置。强化学校的教师专业发展功能，创新思路组织教师专业发展实践活动。</w:t>
            </w:r>
          </w:p>
        </w:tc>
      </w:tr>
      <w:tr w14:paraId="0153C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34" w:type="dxa"/>
            <w:vMerge w:val="continue"/>
            <w:tcBorders>
              <w:top w:val="nil"/>
              <w:bottom w:val="nil"/>
            </w:tcBorders>
            <w:vAlign w:val="top"/>
          </w:tcPr>
          <w:p w14:paraId="79A05334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  <w:bottom w:val="nil"/>
              <w:right w:val="single" w:color="auto" w:sz="4" w:space="0"/>
            </w:tcBorders>
            <w:vAlign w:val="top"/>
          </w:tcPr>
          <w:p w14:paraId="76AF494D">
            <w:pPr>
              <w:pStyle w:val="6"/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CD6E1">
            <w:pPr>
              <w:spacing w:before="65" w:line="219" w:lineRule="auto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科技支撑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B33BF4">
            <w:pPr>
              <w:spacing w:before="177" w:line="219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信息化建设情况</w:t>
            </w:r>
          </w:p>
        </w:tc>
        <w:tc>
          <w:tcPr>
            <w:tcW w:w="1668" w:type="dxa"/>
            <w:tcBorders>
              <w:left w:val="single" w:color="auto" w:sz="4" w:space="0"/>
            </w:tcBorders>
            <w:vAlign w:val="top"/>
          </w:tcPr>
          <w:p w14:paraId="60136A1F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努力加强教育系统信息化建设</w:t>
            </w:r>
          </w:p>
        </w:tc>
        <w:tc>
          <w:tcPr>
            <w:tcW w:w="2582" w:type="dxa"/>
            <w:vAlign w:val="top"/>
          </w:tcPr>
          <w:p w14:paraId="36EE50A0">
            <w:pPr>
              <w:pStyle w:val="6"/>
            </w:pPr>
            <w:r>
              <w:rPr>
                <w:rFonts w:hint="eastAsia"/>
              </w:rPr>
              <w:t>以实用为前提，加强顶层设计，规范有序、由点及面启动教育数字化转型三年行动计划，积极推进数字赋能教师专业成长，着力打造汉阳好教研、汉阳好课堂。</w:t>
            </w:r>
          </w:p>
        </w:tc>
      </w:tr>
    </w:tbl>
    <w:p w14:paraId="64E8AA24">
      <w:pPr>
        <w:spacing w:line="374" w:lineRule="auto"/>
        <w:rPr>
          <w:rFonts w:ascii="Arial"/>
          <w:sz w:val="21"/>
        </w:rPr>
      </w:pPr>
    </w:p>
    <w:p w14:paraId="08D0F115">
      <w:pPr>
        <w:spacing w:line="183" w:lineRule="auto"/>
        <w:rPr>
          <w:rFonts w:ascii="宋体" w:hAnsi="宋体" w:eastAsia="宋体" w:cs="宋体"/>
          <w:sz w:val="32"/>
          <w:szCs w:val="32"/>
        </w:rPr>
        <w:sectPr>
          <w:footerReference r:id="rId6" w:type="default"/>
          <w:pgSz w:w="11850" w:h="16780"/>
          <w:pgMar w:top="1426" w:right="1364" w:bottom="400" w:left="1255" w:header="0" w:footer="0" w:gutter="0"/>
          <w:cols w:space="720" w:num="1"/>
        </w:sectPr>
      </w:pPr>
    </w:p>
    <w:p w14:paraId="338F5BE0">
      <w:pPr>
        <w:spacing w:before="78"/>
      </w:pPr>
    </w:p>
    <w:p w14:paraId="40EA1D61">
      <w:pPr>
        <w:spacing w:before="77"/>
      </w:pPr>
    </w:p>
    <w:tbl>
      <w:tblPr>
        <w:tblStyle w:val="5"/>
        <w:tblW w:w="92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579"/>
        <w:gridCol w:w="1548"/>
        <w:gridCol w:w="1838"/>
        <w:gridCol w:w="1648"/>
        <w:gridCol w:w="2562"/>
      </w:tblGrid>
      <w:tr w14:paraId="35746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4" w:hRule="atLeast"/>
        </w:trPr>
        <w:tc>
          <w:tcPr>
            <w:tcW w:w="1034" w:type="dxa"/>
            <w:vMerge w:val="restart"/>
            <w:tcBorders>
              <w:bottom w:val="nil"/>
            </w:tcBorders>
            <w:vAlign w:val="top"/>
          </w:tcPr>
          <w:p w14:paraId="5DA39B9D">
            <w:pPr>
              <w:pStyle w:val="6"/>
            </w:pPr>
          </w:p>
        </w:tc>
        <w:tc>
          <w:tcPr>
            <w:tcW w:w="579" w:type="dxa"/>
            <w:vMerge w:val="restart"/>
            <w:tcBorders>
              <w:bottom w:val="nil"/>
            </w:tcBorders>
            <w:vAlign w:val="top"/>
          </w:tcPr>
          <w:p w14:paraId="053EA4CA">
            <w:pPr>
              <w:spacing w:before="284" w:line="253" w:lineRule="auto"/>
              <w:ind w:left="180" w:right="74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满意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度</w:t>
            </w:r>
          </w:p>
        </w:tc>
        <w:tc>
          <w:tcPr>
            <w:tcW w:w="1548" w:type="dxa"/>
            <w:vAlign w:val="top"/>
          </w:tcPr>
          <w:p w14:paraId="48C4AA5F">
            <w:pPr>
              <w:spacing w:before="183" w:line="219" w:lineRule="auto"/>
              <w:ind w:left="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服务对象满意度</w:t>
            </w:r>
          </w:p>
        </w:tc>
        <w:tc>
          <w:tcPr>
            <w:tcW w:w="1838" w:type="dxa"/>
            <w:vAlign w:val="top"/>
          </w:tcPr>
          <w:p w14:paraId="2E12BFFA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师生满意度</w:t>
            </w:r>
          </w:p>
        </w:tc>
        <w:tc>
          <w:tcPr>
            <w:tcW w:w="1648" w:type="dxa"/>
            <w:vAlign w:val="top"/>
          </w:tcPr>
          <w:p w14:paraId="7FA864E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大于90%</w:t>
            </w:r>
          </w:p>
        </w:tc>
        <w:tc>
          <w:tcPr>
            <w:tcW w:w="2562" w:type="dxa"/>
            <w:vAlign w:val="top"/>
          </w:tcPr>
          <w:p w14:paraId="598E50C2"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98%</w:t>
            </w:r>
          </w:p>
        </w:tc>
      </w:tr>
      <w:tr w14:paraId="642707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034" w:type="dxa"/>
            <w:vMerge w:val="continue"/>
            <w:tcBorders>
              <w:top w:val="nil"/>
            </w:tcBorders>
            <w:vAlign w:val="top"/>
          </w:tcPr>
          <w:p w14:paraId="0DAF3015">
            <w:pPr>
              <w:pStyle w:val="6"/>
            </w:pPr>
          </w:p>
        </w:tc>
        <w:tc>
          <w:tcPr>
            <w:tcW w:w="579" w:type="dxa"/>
            <w:vMerge w:val="continue"/>
            <w:tcBorders>
              <w:top w:val="nil"/>
            </w:tcBorders>
            <w:vAlign w:val="top"/>
          </w:tcPr>
          <w:p w14:paraId="3C853657">
            <w:pPr>
              <w:pStyle w:val="6"/>
            </w:pPr>
          </w:p>
        </w:tc>
        <w:tc>
          <w:tcPr>
            <w:tcW w:w="1548" w:type="dxa"/>
            <w:vAlign w:val="top"/>
          </w:tcPr>
          <w:p w14:paraId="29742E27">
            <w:pPr>
              <w:spacing w:before="159" w:line="219" w:lineRule="auto"/>
              <w:ind w:left="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联系部门满意度</w:t>
            </w:r>
          </w:p>
        </w:tc>
        <w:tc>
          <w:tcPr>
            <w:tcW w:w="1838" w:type="dxa"/>
            <w:vAlign w:val="top"/>
          </w:tcPr>
          <w:p w14:paraId="24F2EA9F"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政府部门满意度</w:t>
            </w:r>
          </w:p>
        </w:tc>
        <w:tc>
          <w:tcPr>
            <w:tcW w:w="1648" w:type="dxa"/>
            <w:vAlign w:val="top"/>
          </w:tcPr>
          <w:p w14:paraId="69AA8BDA">
            <w:r>
              <w:rPr>
                <w:rFonts w:hint="eastAsia" w:eastAsia="宋体"/>
                <w:lang w:val="en-US" w:eastAsia="zh-CN"/>
              </w:rPr>
              <w:t>大于90%</w:t>
            </w:r>
          </w:p>
        </w:tc>
        <w:tc>
          <w:tcPr>
            <w:tcW w:w="2562" w:type="dxa"/>
            <w:vAlign w:val="top"/>
          </w:tcPr>
          <w:p w14:paraId="10CC5BAC">
            <w:pPr>
              <w:pStyle w:val="6"/>
            </w:pPr>
            <w:r>
              <w:rPr>
                <w:rFonts w:hint="eastAsia" w:eastAsia="宋体"/>
                <w:lang w:val="en-US" w:eastAsia="zh-CN"/>
              </w:rPr>
              <w:t>98%</w:t>
            </w:r>
          </w:p>
        </w:tc>
      </w:tr>
      <w:tr w14:paraId="6D426D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6" w:hRule="atLeast"/>
        </w:trPr>
        <w:tc>
          <w:tcPr>
            <w:tcW w:w="1613" w:type="dxa"/>
            <w:gridSpan w:val="2"/>
            <w:vAlign w:val="top"/>
          </w:tcPr>
          <w:p w14:paraId="587BD987">
            <w:pPr>
              <w:pStyle w:val="6"/>
              <w:spacing w:line="294" w:lineRule="auto"/>
            </w:pPr>
          </w:p>
          <w:p w14:paraId="51C89051">
            <w:pPr>
              <w:pStyle w:val="6"/>
              <w:spacing w:line="294" w:lineRule="auto"/>
            </w:pPr>
          </w:p>
          <w:p w14:paraId="5B983F24">
            <w:pPr>
              <w:pStyle w:val="6"/>
              <w:spacing w:line="295" w:lineRule="auto"/>
            </w:pPr>
          </w:p>
          <w:p w14:paraId="003F52A2">
            <w:pPr>
              <w:pStyle w:val="6"/>
              <w:spacing w:line="295" w:lineRule="auto"/>
            </w:pPr>
          </w:p>
          <w:p w14:paraId="55BE64A4">
            <w:pPr>
              <w:spacing w:before="65" w:line="253" w:lineRule="auto"/>
              <w:ind w:left="294" w:hanging="2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偏差大或目标未完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成原因分析</w:t>
            </w:r>
          </w:p>
        </w:tc>
        <w:tc>
          <w:tcPr>
            <w:tcW w:w="7596" w:type="dxa"/>
            <w:gridSpan w:val="4"/>
            <w:vAlign w:val="top"/>
          </w:tcPr>
          <w:p w14:paraId="618CD464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无</w:t>
            </w:r>
          </w:p>
        </w:tc>
      </w:tr>
      <w:tr w14:paraId="578ED2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1" w:hRule="atLeast"/>
        </w:trPr>
        <w:tc>
          <w:tcPr>
            <w:tcW w:w="1613" w:type="dxa"/>
            <w:gridSpan w:val="2"/>
            <w:vAlign w:val="top"/>
          </w:tcPr>
          <w:p w14:paraId="673C39F8">
            <w:pPr>
              <w:pStyle w:val="6"/>
              <w:spacing w:line="246" w:lineRule="auto"/>
            </w:pPr>
          </w:p>
          <w:p w14:paraId="60292E62">
            <w:pPr>
              <w:pStyle w:val="6"/>
              <w:spacing w:line="246" w:lineRule="auto"/>
            </w:pPr>
          </w:p>
          <w:p w14:paraId="44E0F977">
            <w:pPr>
              <w:pStyle w:val="6"/>
              <w:spacing w:line="247" w:lineRule="auto"/>
            </w:pPr>
          </w:p>
          <w:p w14:paraId="750E6490">
            <w:pPr>
              <w:pStyle w:val="6"/>
              <w:spacing w:line="247" w:lineRule="auto"/>
            </w:pPr>
          </w:p>
          <w:p w14:paraId="48C8C095">
            <w:pPr>
              <w:pStyle w:val="6"/>
              <w:spacing w:line="247" w:lineRule="auto"/>
            </w:pPr>
          </w:p>
          <w:p w14:paraId="775EEF79">
            <w:pPr>
              <w:pStyle w:val="6"/>
              <w:spacing w:line="247" w:lineRule="auto"/>
            </w:pPr>
          </w:p>
          <w:p w14:paraId="76837EFA">
            <w:pPr>
              <w:spacing w:before="65" w:line="244" w:lineRule="auto"/>
              <w:ind w:left="494" w:right="2" w:hanging="4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改进措施及结果应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用方案</w:t>
            </w:r>
          </w:p>
        </w:tc>
        <w:tc>
          <w:tcPr>
            <w:tcW w:w="7596" w:type="dxa"/>
            <w:gridSpan w:val="4"/>
            <w:vAlign w:val="top"/>
          </w:tcPr>
          <w:p w14:paraId="1D3CFABE">
            <w:pPr>
              <w:pStyle w:val="6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无</w:t>
            </w:r>
          </w:p>
        </w:tc>
      </w:tr>
    </w:tbl>
    <w:p w14:paraId="0CC8FAA1">
      <w:pPr>
        <w:spacing w:before="31" w:line="219" w:lineRule="auto"/>
        <w:ind w:left="45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备注：1.基本支出总额和项目支出总额为财政资金实际支出数。</w:t>
      </w:r>
    </w:p>
    <w:p w14:paraId="28FB4D25">
      <w:pPr>
        <w:pStyle w:val="2"/>
        <w:spacing w:before="110" w:line="220" w:lineRule="auto"/>
        <w:ind w:left="424" w:firstLine="600" w:firstLineChars="300"/>
        <w:rPr>
          <w:rFonts w:ascii="宋体" w:hAnsi="宋体" w:eastAsia="宋体" w:cs="宋体"/>
          <w:snapToGrid w:val="0"/>
          <w:color w:val="000000"/>
          <w:kern w:val="0"/>
          <w:sz w:val="20"/>
          <w:szCs w:val="20"/>
          <w:lang w:val="en-US" w:eastAsia="en-US" w:bidi="ar-SA"/>
        </w:rPr>
      </w:pPr>
      <w:r>
        <w:rPr>
          <w:rFonts w:ascii="宋体" w:hAnsi="宋体" w:eastAsia="宋体" w:cs="宋体"/>
          <w:snapToGrid w:val="0"/>
          <w:color w:val="000000"/>
          <w:kern w:val="0"/>
          <w:sz w:val="20"/>
          <w:szCs w:val="20"/>
          <w:lang w:val="en-US" w:eastAsia="en-US" w:bidi="ar-SA"/>
        </w:rPr>
        <w:t>2.基于经济性和必要性等因素考虑，满意度指标暂可不作为必评指标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0"/>
          <w:szCs w:val="20"/>
          <w:lang w:val="en-US" w:eastAsia="zh-CN" w:bidi="ar-SA"/>
        </w:rPr>
        <w:t>。</w:t>
      </w:r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8B9986">
    <w:pPr>
      <w:spacing w:before="1" w:line="172" w:lineRule="auto"/>
      <w:ind w:left="8354"/>
      <w:rPr>
        <w:rFonts w:ascii="宋体" w:hAnsi="宋体" w:eastAsia="宋体" w:cs="宋体"/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F98C58"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CE5243">
    <w:pPr>
      <w:spacing w:line="174" w:lineRule="auto"/>
      <w:ind w:left="8384"/>
      <w:rPr>
        <w:rFonts w:ascii="宋体" w:hAnsi="宋体" w:eastAsia="宋体" w:cs="宋体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NzhkMjQ4OGVhNjY4ODAzYTI5ZjlkNzE1NmMxYWQifQ=="/>
  </w:docVars>
  <w:rsids>
    <w:rsidRoot w:val="1DE4157E"/>
    <w:rsid w:val="1DE4157E"/>
    <w:rsid w:val="22981757"/>
    <w:rsid w:val="5D57433D"/>
    <w:rsid w:val="68E84C97"/>
    <w:rsid w:val="76625932"/>
    <w:rsid w:val="768026E4"/>
    <w:rsid w:val="7F6FD3C9"/>
    <w:rsid w:val="BFFD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1995</Words>
  <Characters>2092</Characters>
  <Lines>0</Lines>
  <Paragraphs>0</Paragraphs>
  <TotalTime>5</TotalTime>
  <ScaleCrop>false</ScaleCrop>
  <LinksUpToDate>false</LinksUpToDate>
  <CharactersWithSpaces>2109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2024-06-07T01:06:00Z</dcterms:created>
  <dc:creator>财务科陈蔚林</dc:creator>
  <cp:lastModifiedBy>肖勇</cp:lastModifiedBy>
  <dcterms:modified xsi:type="dcterms:W3CDTF">2024-12-18T06:51:34Z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475A547F89FF4F6B817012E277D2DC43_13</vt:lpwstr>
  </property>
</Properties>
</file>