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376"/>
        <w:gridCol w:w="1043"/>
        <w:gridCol w:w="873"/>
        <w:gridCol w:w="125"/>
        <w:gridCol w:w="1021"/>
        <w:gridCol w:w="60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专项业务类项目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刘平华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较好的完成各项教育教学工作任务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一是开展丰富的学生活动，促进学生艺术、体育、德育等全面发展；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二是开展教师培训及各项活动，组织教师良性交流，促进教师教学水平提升；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三是整体提升汉阳区教育教学质量。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1923.17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1923.17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按需求有所减少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1923.17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1923.17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1923.17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专项业务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专项业务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商品和服务支出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1923.17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根据工作计划安排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根据采购文件执行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较好的完成各项教育教学工作任务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较好的完成各项教育教学工作任务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将成本控制在预算内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教师区内专职交流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学前教育</w:t>
            </w:r>
            <w:r>
              <w:rPr>
                <w:rFonts w:hint="eastAsia" w:ascii="仿宋_GB2312" w:hAnsi="仿宋" w:cs="宋体"/>
                <w:kern w:val="0"/>
                <w:sz w:val="18"/>
                <w:szCs w:val="18"/>
                <w:lang w:eastAsia="zh-CN"/>
              </w:rPr>
              <w:t>改革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公办园在园幼儿占比50%的目标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eastAsia="zh-CN"/>
              </w:rPr>
              <w:t>义务教育教联体</w:t>
            </w: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覆盖率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教师培训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完成全年培训计划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提升学生创新意识与实践能力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提高汉阳区教师队伍整体水平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推进义务教育优质均衡发展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将成本控制在预算内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eastAsia="zh-CN"/>
              </w:rPr>
              <w:t>教联体建设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启动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成立名师工作室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eastAsia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换届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教师区内专职交流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招聘教师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eastAsia="zh-CN"/>
              </w:rPr>
              <w:t>四有教师评选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100人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100人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100人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bookmarkStart w:id="0" w:name="_GoBack"/>
            <w:bookmarkEnd w:id="0"/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提升学生创新意识与实践能力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提高汉阳区教师队伍整体水平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推进义务教育优质均衡发展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TRlZjhjYzRmY2E3MDZjZjQzNzc4ODM0ZjQyZTMifQ=="/>
    <w:docVar w:name="KSO_WPS_MARK_KEY" w:val="ca48ad3d-2f08-43c8-9994-79bc7d271b17"/>
  </w:docVars>
  <w:rsids>
    <w:rsidRoot w:val="1BF444B2"/>
    <w:rsid w:val="1BF444B2"/>
    <w:rsid w:val="29F84AFF"/>
    <w:rsid w:val="563911AD"/>
    <w:rsid w:val="663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1187</Characters>
  <Lines>0</Lines>
  <Paragraphs>0</Paragraphs>
  <TotalTime>3</TotalTime>
  <ScaleCrop>false</ScaleCrop>
  <LinksUpToDate>false</LinksUpToDate>
  <CharactersWithSpaces>1293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  青柳新杨</cp:lastModifiedBy>
  <dcterms:modified xsi:type="dcterms:W3CDTF">2024-01-19T02:43:38Z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DBFCA065FD014907A08F34CD7AFC7FB4</vt:lpwstr>
  </property>
</Properties>
</file>