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附表4-12</w:t>
      </w:r>
    </w:p>
    <w:p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部门项目申报表(含绩效目标)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 xml:space="preserve">申报日期： </w:t>
      </w:r>
      <w:r>
        <w:rPr>
          <w:rFonts w:hint="eastAsia" w:ascii="宋体" w:hAnsi="宋体" w:cs="宋体"/>
        </w:rPr>
        <w:t xml:space="preserve">                                                           单位：万元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86"/>
        <w:gridCol w:w="760"/>
        <w:gridCol w:w="333"/>
        <w:gridCol w:w="814"/>
        <w:gridCol w:w="322"/>
        <w:gridCol w:w="630"/>
        <w:gridCol w:w="376"/>
        <w:gridCol w:w="947"/>
        <w:gridCol w:w="969"/>
        <w:gridCol w:w="125"/>
        <w:gridCol w:w="1021"/>
        <w:gridCol w:w="60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民生政策类项目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项目执行单位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刘平华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027-84841692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汉阳区知音大厦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430050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起始年度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终止年度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项目立项依据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按照相关政策文件执行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按照政策文件，发放学生资助资金发放、缴纳校方责任险等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370.99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项目当年预算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370.99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项目前两年预算及当年预算变动情况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基本持平，因学生、教师人数增加，校方责任险的预算有所增加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项目资金来源</w:t>
            </w: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来源项目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370.99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370.99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其中：申请当年预算拨款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370.99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财政专户管理资金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其中：使用上年度财政拨款结转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活动内容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支出经济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民生政策类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民生政策类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对个人及家庭的补助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370.99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根据工作计划安排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项目绩效总目标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按照政策完成学生资助、缴纳校方责任险等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按照政策完成学生资助、缴纳校方责任险等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目标名称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各级各类学生资助标准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符合相关资助标准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学生资助资金区级配套率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享受学生校方责任险人数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根据当年实际人数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学生校方责任险参保面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资助资金应发尽发率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投保覆盖计划完成率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完成时效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奖助学金按规定及时发放率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理赔处置工作完成及时率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服务响应时间达标情况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24小时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理赔付款及时性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10天内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惠及各学段应享受学生资助对象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应助尽助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化解事故纠纷有效性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安全隐患消除有效性认可度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家长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00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前年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上年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经济成本指标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各级各类学生资助标准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符合相关资助标准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符合相关资助标准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符合相关资助标准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学生资助资金区级配套率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享受学生校方责任险人数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根据当年实际人数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根据当年实际人数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根据当年实际人数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学生校方责任险参保面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资助资金应发尽发率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投保覆盖计划完成率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完成时效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奖助学金按规定及时发放率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理赔处置工作完成及时率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服务响应时间达标情况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24小时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24小时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24小时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理赔付款及时性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10天内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10天内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10天内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惠及各学段应享受学生资助对象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应助尽助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应助尽助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应助尽助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化解事故纠纷有效性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安全隐患消除有效性认可度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家长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学生满意度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9100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1855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ZDZkOGI2ODBhZDMxNmUzMjQ0ZmJkNGUxNjgyYmMifQ=="/>
    <w:docVar w:name="KSO_WPS_MARK_KEY" w:val="be126200-49f5-4467-96ca-5c31e5bca8ea"/>
  </w:docVars>
  <w:rsids>
    <w:rsidRoot w:val="1BF444B2"/>
    <w:rsid w:val="1BF444B2"/>
    <w:rsid w:val="1C9A6CD8"/>
    <w:rsid w:val="29F84AFF"/>
    <w:rsid w:val="2EA07236"/>
    <w:rsid w:val="33ED351B"/>
    <w:rsid w:val="365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1228</Words>
  <Characters>1395</Characters>
  <Lines>0</Lines>
  <Paragraphs>0</Paragraphs>
  <TotalTime>1</TotalTime>
  <ScaleCrop>false</ScaleCrop>
  <LinksUpToDate>false</LinksUpToDate>
  <CharactersWithSpaces>1496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2023-01-18T01:00:00Z</dcterms:created>
  <dc:creator>财务科陈蔚林</dc:creator>
  <cp:lastModifiedBy>  青柳新杨</cp:lastModifiedBy>
  <dcterms:modified xsi:type="dcterms:W3CDTF">2024-01-19T02:34:03Z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BBB1DBDE9F9F4054A04D6B94E834419B</vt:lpwstr>
  </property>
</Properties>
</file>