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line="560" w:lineRule="exact"/>
        <w:jc w:val="center"/>
        <w:rPr>
          <w:rFonts w:hint="eastAsia" w:ascii="方正小标宋_GBK" w:hAnsi="宋体" w:eastAsia="方正小标宋_GBK" w:cs="宋体"/>
          <w:color w:val="333333"/>
          <w:sz w:val="44"/>
          <w:szCs w:val="44"/>
          <w:shd w:val="clear" w:color="auto" w:fill="FFFFFF"/>
        </w:rPr>
      </w:pPr>
    </w:p>
    <w:p>
      <w:pPr>
        <w:pStyle w:val="4"/>
        <w:widowControl/>
        <w:shd w:val="clear" w:color="auto" w:fill="FFFFFF"/>
        <w:spacing w:line="560" w:lineRule="exact"/>
        <w:jc w:val="center"/>
        <w:rPr>
          <w:rFonts w:ascii="方正小标宋_GBK" w:hAnsi="宋体" w:eastAsia="方正小标宋_GBK" w:cs="宋体"/>
          <w:color w:val="333333"/>
          <w:sz w:val="44"/>
          <w:szCs w:val="44"/>
          <w:shd w:val="clear" w:color="auto" w:fill="FFFFFF"/>
        </w:rPr>
      </w:pPr>
      <w:r>
        <w:rPr>
          <w:rFonts w:hint="eastAsia" w:ascii="方正小标宋_GBK" w:hAnsi="宋体" w:eastAsia="方正小标宋_GBK" w:cs="宋体"/>
          <w:color w:val="333333"/>
          <w:sz w:val="44"/>
          <w:szCs w:val="44"/>
          <w:shd w:val="clear" w:color="auto" w:fill="FFFFFF"/>
        </w:rPr>
        <w:t>202</w:t>
      </w:r>
      <w:r>
        <w:rPr>
          <w:rFonts w:hint="eastAsia" w:ascii="方正小标宋_GBK" w:hAnsi="宋体" w:eastAsia="方正小标宋_GBK" w:cs="宋体"/>
          <w:color w:val="333333"/>
          <w:sz w:val="44"/>
          <w:szCs w:val="44"/>
          <w:shd w:val="clear" w:color="auto" w:fill="FFFFFF"/>
          <w:lang w:val="en-US" w:eastAsia="zh-CN"/>
        </w:rPr>
        <w:t>3</w:t>
      </w:r>
      <w:r>
        <w:rPr>
          <w:rFonts w:hint="eastAsia" w:ascii="方正小标宋_GBK" w:hAnsi="宋体" w:eastAsia="方正小标宋_GBK" w:cs="宋体"/>
          <w:color w:val="333333"/>
          <w:sz w:val="44"/>
          <w:szCs w:val="44"/>
          <w:shd w:val="clear" w:color="auto" w:fill="FFFFFF"/>
        </w:rPr>
        <w:t>年政府信息公开工作年度报告</w:t>
      </w:r>
    </w:p>
    <w:p>
      <w:pPr>
        <w:pStyle w:val="4"/>
        <w:widowControl/>
        <w:shd w:val="clear" w:color="auto" w:fill="FFFFFF"/>
        <w:spacing w:line="560" w:lineRule="exact"/>
        <w:jc w:val="center"/>
        <w:rPr>
          <w:rFonts w:hint="default" w:ascii="Times New Roman" w:hAnsi="Times New Roman" w:eastAsia="楷体" w:cs="Times New Roman"/>
          <w:color w:val="333333"/>
          <w:sz w:val="30"/>
          <w:szCs w:val="30"/>
          <w:shd w:val="clear" w:color="auto" w:fill="FFFFFF"/>
          <w:lang w:eastAsia="zh-CN"/>
        </w:rPr>
      </w:pPr>
      <w:r>
        <w:rPr>
          <w:rFonts w:hint="default" w:ascii="Times New Roman" w:hAnsi="Times New Roman" w:eastAsia="楷体" w:cs="Times New Roman"/>
          <w:color w:val="333333"/>
          <w:sz w:val="30"/>
          <w:szCs w:val="30"/>
          <w:shd w:val="clear" w:color="auto" w:fill="FFFFFF"/>
          <w:lang w:eastAsia="zh-CN"/>
        </w:rPr>
        <w:t>汉阳区城区改造更新局</w:t>
      </w:r>
    </w:p>
    <w:p>
      <w:pPr>
        <w:spacing w:line="560" w:lineRule="exact"/>
        <w:ind w:firstLine="640" w:firstLineChars="200"/>
        <w:rPr>
          <w:rFonts w:hint="eastAsia" w:ascii="仿宋_GB2312" w:eastAsia="仿宋_GB2312" w:cs="Times New Roman"/>
          <w:color w:val="424242"/>
          <w:kern w:val="0"/>
          <w:sz w:val="32"/>
          <w:szCs w:val="32"/>
          <w:shd w:val="clear" w:color="auto" w:fill="FFFFFF"/>
        </w:rPr>
      </w:pPr>
    </w:p>
    <w:p>
      <w:pPr>
        <w:spacing w:line="560" w:lineRule="exact"/>
        <w:ind w:firstLine="640" w:firstLineChars="200"/>
        <w:rPr>
          <w:rFonts w:hint="default" w:ascii="Times New Roman" w:hAnsi="Times New Roman" w:eastAsia="仿宋_GB2312" w:cs="Times New Roman"/>
          <w:color w:val="424242"/>
          <w:kern w:val="0"/>
          <w:sz w:val="32"/>
          <w:szCs w:val="32"/>
          <w:shd w:val="clear" w:color="auto" w:fill="FFFFFF"/>
        </w:rPr>
      </w:pPr>
      <w:r>
        <w:rPr>
          <w:rFonts w:hint="default" w:ascii="Times New Roman" w:hAnsi="Times New Roman" w:eastAsia="仿宋_GB2312" w:cs="Times New Roman"/>
          <w:color w:val="424242"/>
          <w:kern w:val="0"/>
          <w:sz w:val="32"/>
          <w:szCs w:val="32"/>
          <w:shd w:val="clear" w:color="auto" w:fill="FFFFFF"/>
        </w:rPr>
        <w:t>本报告由信息公开工作的总体情况、主动公开政府信息情况、收到和处理政府信息公开申请情况、因政府信息公开工作被申请行政复议、提起行政诉讼处理结果情况、政府信息公开工作存在的主要问题及改进情况、其他需要报告的事项等六部分组成，内容包括汉阳区城区改造更新局202</w:t>
      </w:r>
      <w:r>
        <w:rPr>
          <w:rFonts w:hint="default" w:ascii="Times New Roman" w:hAnsi="Times New Roman" w:eastAsia="仿宋_GB2312" w:cs="Times New Roman"/>
          <w:color w:val="424242"/>
          <w:kern w:val="0"/>
          <w:sz w:val="32"/>
          <w:szCs w:val="32"/>
          <w:shd w:val="clear" w:color="auto" w:fill="FFFFFF"/>
          <w:lang w:val="en-US" w:eastAsia="zh-CN"/>
        </w:rPr>
        <w:t>3</w:t>
      </w:r>
      <w:r>
        <w:rPr>
          <w:rFonts w:hint="default" w:ascii="Times New Roman" w:hAnsi="Times New Roman" w:eastAsia="仿宋_GB2312" w:cs="Times New Roman"/>
          <w:color w:val="424242"/>
          <w:kern w:val="0"/>
          <w:sz w:val="32"/>
          <w:szCs w:val="32"/>
          <w:shd w:val="clear" w:color="auto" w:fill="FFFFFF"/>
        </w:rPr>
        <w:t>年1月</w:t>
      </w:r>
      <w:r>
        <w:rPr>
          <w:rFonts w:hint="eastAsia" w:ascii="Times New Roman" w:hAnsi="Times New Roman" w:eastAsia="仿宋_GB2312" w:cs="Times New Roman"/>
          <w:color w:val="424242"/>
          <w:kern w:val="0"/>
          <w:sz w:val="32"/>
          <w:szCs w:val="32"/>
          <w:shd w:val="clear" w:color="auto" w:fill="FFFFFF"/>
          <w:lang w:val="en-US" w:eastAsia="zh-CN"/>
        </w:rPr>
        <w:t>1日</w:t>
      </w:r>
      <w:r>
        <w:rPr>
          <w:rFonts w:hint="default" w:ascii="Times New Roman" w:hAnsi="Times New Roman" w:eastAsia="仿宋_GB2312" w:cs="Times New Roman"/>
          <w:color w:val="424242"/>
          <w:kern w:val="0"/>
          <w:sz w:val="32"/>
          <w:szCs w:val="32"/>
          <w:shd w:val="clear" w:color="auto" w:fill="FFFFFF"/>
        </w:rPr>
        <w:t>至12月</w:t>
      </w:r>
      <w:r>
        <w:rPr>
          <w:rFonts w:hint="eastAsia" w:ascii="Times New Roman" w:hAnsi="Times New Roman" w:eastAsia="仿宋_GB2312" w:cs="Times New Roman"/>
          <w:color w:val="424242"/>
          <w:kern w:val="0"/>
          <w:sz w:val="32"/>
          <w:szCs w:val="32"/>
          <w:shd w:val="clear" w:color="auto" w:fill="FFFFFF"/>
          <w:lang w:val="en-US" w:eastAsia="zh-CN"/>
        </w:rPr>
        <w:t>31日</w:t>
      </w:r>
      <w:r>
        <w:rPr>
          <w:rFonts w:hint="default" w:ascii="Times New Roman" w:hAnsi="Times New Roman" w:eastAsia="仿宋_GB2312" w:cs="Times New Roman"/>
          <w:color w:val="424242"/>
          <w:kern w:val="0"/>
          <w:sz w:val="32"/>
          <w:szCs w:val="32"/>
          <w:shd w:val="clear" w:color="auto" w:fill="FFFFFF"/>
        </w:rPr>
        <w:t>期间的政府信息公开工作情况。如对本年度报告有疑问，请联系：汉阳区城区改造更新局办公室，联系电话：027－84680032。</w:t>
      </w:r>
    </w:p>
    <w:p>
      <w:pPr>
        <w:pStyle w:val="4"/>
        <w:widowControl/>
        <w:spacing w:line="56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color w:val="333333"/>
          <w:sz w:val="32"/>
          <w:szCs w:val="32"/>
        </w:rPr>
        <w:t>一、总体情况</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424242"/>
          <w:sz w:val="32"/>
          <w:szCs w:val="32"/>
          <w:shd w:val="clear" w:color="auto" w:fill="FFFFFF"/>
        </w:rPr>
      </w:pPr>
      <w:r>
        <w:rPr>
          <w:rFonts w:hint="default" w:ascii="Times New Roman" w:hAnsi="Times New Roman" w:eastAsia="仿宋_GB2312" w:cs="Times New Roman"/>
          <w:color w:val="424242"/>
          <w:sz w:val="32"/>
          <w:szCs w:val="32"/>
          <w:shd w:val="clear" w:color="auto" w:fill="FFFFFF"/>
        </w:rPr>
        <w:t>推进政府信息公开是贯彻落实《中华人民共和国政府信息公开条例》的重要举措，是深入推行政府信息公开，转变政府职能，实现管理创新，建设人民满意服务型政府的一项重要工作。按照《中华人民共和国政府信息公开条例》有关要求，为全面做好政务公开工作，围绕打造服务型政府，不断加强政府信息公开力度，加深政府信息公开程度，</w:t>
      </w:r>
      <w:r>
        <w:rPr>
          <w:rFonts w:hint="default" w:ascii="Times New Roman" w:hAnsi="Times New Roman" w:eastAsia="仿宋_GB2312" w:cs="Times New Roman"/>
          <w:color w:val="424242"/>
          <w:sz w:val="32"/>
          <w:szCs w:val="32"/>
          <w:shd w:val="clear" w:color="auto" w:fill="FFFFFF"/>
          <w:lang w:eastAsia="zh-CN"/>
        </w:rPr>
        <w:t>2023</w:t>
      </w:r>
      <w:r>
        <w:rPr>
          <w:rFonts w:hint="default" w:ascii="Times New Roman" w:hAnsi="Times New Roman" w:eastAsia="仿宋_GB2312" w:cs="Times New Roman"/>
          <w:color w:val="424242"/>
          <w:sz w:val="32"/>
          <w:szCs w:val="32"/>
          <w:shd w:val="clear" w:color="auto" w:fill="FFFFFF"/>
        </w:rPr>
        <w:t>年度汉阳区城区改造更新局坚持“以公开为常态、不公开为例外”的原则，强化组织管理，完善工作机制，在深化公开内容、规范公开载体形式、加强基础性建设工作等方面取得进展，呈现出管理有力、稳步推进、持续深化、良好发展的态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Calibri" w:hAnsi="Calibri" w:cs="Calibri"/>
          <w:i w:val="0"/>
          <w:iCs w:val="0"/>
          <w:caps w:val="0"/>
          <w:color w:val="000000"/>
          <w:spacing w:val="15"/>
          <w:sz w:val="24"/>
          <w:szCs w:val="24"/>
        </w:rPr>
      </w:pPr>
      <w:r>
        <w:rPr>
          <w:rFonts w:ascii="楷体_GB2312" w:hAnsi="Calibri" w:eastAsia="楷体_GB2312" w:cs="楷体_GB2312"/>
          <w:i w:val="0"/>
          <w:iCs w:val="0"/>
          <w:caps w:val="0"/>
          <w:color w:val="000000"/>
          <w:spacing w:val="15"/>
          <w:sz w:val="31"/>
          <w:szCs w:val="31"/>
          <w:shd w:val="clear" w:fill="FFFFFF"/>
        </w:rPr>
        <w:t>（一）主动公开情况</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424242"/>
          <w:sz w:val="32"/>
          <w:szCs w:val="32"/>
          <w:shd w:val="clear" w:color="auto" w:fill="FFFFFF"/>
        </w:rPr>
      </w:pPr>
      <w:r>
        <w:rPr>
          <w:rFonts w:hint="eastAsia" w:ascii="Times New Roman" w:hAnsi="Times New Roman" w:eastAsia="仿宋_GB2312" w:cs="Times New Roman"/>
          <w:color w:val="424242"/>
          <w:sz w:val="32"/>
          <w:szCs w:val="32"/>
          <w:shd w:val="clear" w:color="auto" w:fill="FFFFFF"/>
          <w:lang w:eastAsia="zh-CN"/>
        </w:rPr>
        <w:t>我局坚决</w:t>
      </w:r>
      <w:r>
        <w:rPr>
          <w:rFonts w:hint="default" w:ascii="Times New Roman" w:hAnsi="Times New Roman" w:eastAsia="仿宋_GB2312" w:cs="Times New Roman"/>
          <w:color w:val="424242"/>
          <w:sz w:val="32"/>
          <w:szCs w:val="32"/>
          <w:shd w:val="clear" w:color="auto" w:fill="FFFFFF"/>
        </w:rPr>
        <w:t>贯彻落实上级文件精神及工作要求，针对</w:t>
      </w:r>
      <w:r>
        <w:rPr>
          <w:rFonts w:hint="eastAsia" w:ascii="Times New Roman" w:hAnsi="Times New Roman" w:eastAsia="仿宋_GB2312" w:cs="Times New Roman"/>
          <w:color w:val="424242"/>
          <w:sz w:val="32"/>
          <w:szCs w:val="32"/>
          <w:shd w:val="clear" w:color="auto" w:fill="FFFFFF"/>
          <w:lang w:val="en-US" w:eastAsia="zh-CN"/>
        </w:rPr>
        <w:t>国有土地上房屋征收于补偿</w:t>
      </w:r>
      <w:r>
        <w:rPr>
          <w:rFonts w:hint="default" w:ascii="Times New Roman" w:hAnsi="Times New Roman" w:eastAsia="仿宋_GB2312" w:cs="Times New Roman"/>
          <w:color w:val="424242"/>
          <w:sz w:val="32"/>
          <w:szCs w:val="32"/>
          <w:shd w:val="clear" w:color="auto" w:fill="FFFFFF"/>
        </w:rPr>
        <w:t>等方面进行了规范，强化政策解读，积极回应社会关切。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i w:val="0"/>
          <w:iCs w:val="0"/>
          <w:caps w:val="0"/>
          <w:color w:val="000000"/>
          <w:spacing w:val="15"/>
          <w:sz w:val="24"/>
          <w:szCs w:val="24"/>
        </w:rPr>
      </w:pPr>
      <w:r>
        <w:rPr>
          <w:rFonts w:hint="eastAsia" w:ascii="楷体_GB2312" w:hAnsi="Calibri" w:eastAsia="楷体_GB2312" w:cs="楷体_GB2312"/>
          <w:i w:val="0"/>
          <w:iCs w:val="0"/>
          <w:caps w:val="0"/>
          <w:color w:val="000000"/>
          <w:spacing w:val="15"/>
          <w:sz w:val="31"/>
          <w:szCs w:val="31"/>
          <w:shd w:val="clear" w:fill="FFFFFF"/>
        </w:rPr>
        <w:t>（二）依申请公开情况</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424242"/>
          <w:sz w:val="32"/>
          <w:szCs w:val="32"/>
          <w:shd w:val="clear" w:color="auto" w:fill="FFFFFF"/>
          <w:lang w:eastAsia="zh-CN"/>
        </w:rPr>
      </w:pPr>
      <w:r>
        <w:rPr>
          <w:rFonts w:hint="eastAsia" w:ascii="Times New Roman" w:hAnsi="Times New Roman" w:eastAsia="仿宋_GB2312" w:cs="Times New Roman"/>
          <w:color w:val="424242"/>
          <w:sz w:val="32"/>
          <w:szCs w:val="32"/>
          <w:shd w:val="clear" w:color="auto" w:fill="FFFFFF"/>
          <w:lang w:eastAsia="zh-CN"/>
        </w:rPr>
        <w:t>根据《</w:t>
      </w:r>
      <w:r>
        <w:rPr>
          <w:rFonts w:hint="default" w:ascii="Times New Roman" w:hAnsi="Times New Roman" w:eastAsia="仿宋_GB2312" w:cs="Times New Roman"/>
          <w:color w:val="424242"/>
          <w:sz w:val="32"/>
          <w:szCs w:val="32"/>
          <w:shd w:val="clear" w:color="auto" w:fill="FFFFFF"/>
        </w:rPr>
        <w:t>中华人民共和国政府信息公开条例</w:t>
      </w:r>
      <w:r>
        <w:rPr>
          <w:rFonts w:hint="eastAsia" w:ascii="Times New Roman" w:hAnsi="Times New Roman" w:eastAsia="仿宋_GB2312" w:cs="Times New Roman"/>
          <w:color w:val="424242"/>
          <w:sz w:val="32"/>
          <w:szCs w:val="32"/>
          <w:shd w:val="clear" w:color="auto" w:fill="FFFFFF"/>
          <w:lang w:eastAsia="zh-CN"/>
        </w:rPr>
        <w:t>》精神及文件要求，坚持依法规范办理政府信息依申请公开工作，狠抓依申请办理质量，切实保障公众知情权，积极化解社会矛盾，不断增强人民群众获得感和幸福感。202</w:t>
      </w:r>
      <w:r>
        <w:rPr>
          <w:rFonts w:hint="eastAsia" w:ascii="Times New Roman" w:hAnsi="Times New Roman" w:eastAsia="仿宋_GB2312" w:cs="Times New Roman"/>
          <w:color w:val="424242"/>
          <w:sz w:val="32"/>
          <w:szCs w:val="32"/>
          <w:shd w:val="clear" w:color="auto" w:fill="FFFFFF"/>
          <w:lang w:val="en-US" w:eastAsia="zh-CN"/>
        </w:rPr>
        <w:t>3</w:t>
      </w:r>
      <w:r>
        <w:rPr>
          <w:rFonts w:hint="eastAsia" w:ascii="Times New Roman" w:hAnsi="Times New Roman" w:eastAsia="仿宋_GB2312" w:cs="Times New Roman"/>
          <w:color w:val="424242"/>
          <w:sz w:val="32"/>
          <w:szCs w:val="32"/>
          <w:shd w:val="clear" w:color="auto" w:fill="FFFFFF"/>
          <w:lang w:eastAsia="zh-CN"/>
        </w:rPr>
        <w:t>年，我局共受理政府信息依申请公开</w:t>
      </w:r>
      <w:r>
        <w:rPr>
          <w:rFonts w:hint="eastAsia" w:ascii="Times New Roman" w:hAnsi="Times New Roman" w:eastAsia="仿宋_GB2312" w:cs="Times New Roman"/>
          <w:color w:val="424242"/>
          <w:sz w:val="32"/>
          <w:szCs w:val="32"/>
          <w:shd w:val="clear" w:color="auto" w:fill="FFFFFF"/>
          <w:lang w:val="en-US" w:eastAsia="zh-CN"/>
        </w:rPr>
        <w:t>36</w:t>
      </w:r>
      <w:r>
        <w:rPr>
          <w:rFonts w:hint="eastAsia" w:ascii="Times New Roman" w:hAnsi="Times New Roman" w:eastAsia="仿宋_GB2312" w:cs="Times New Roman"/>
          <w:color w:val="424242"/>
          <w:sz w:val="32"/>
          <w:szCs w:val="32"/>
          <w:shd w:val="clear" w:color="auto" w:fill="FFFFFF"/>
          <w:lang w:eastAsia="zh-CN"/>
        </w:rPr>
        <w:t>件，全部已依法依规办结，办结率</w:t>
      </w:r>
      <w:r>
        <w:rPr>
          <w:rFonts w:hint="eastAsia" w:ascii="Times New Roman" w:hAnsi="Times New Roman" w:eastAsia="仿宋_GB2312" w:cs="Times New Roman"/>
          <w:color w:val="424242"/>
          <w:sz w:val="32"/>
          <w:szCs w:val="32"/>
          <w:shd w:val="clear" w:color="auto" w:fill="FFFFFF"/>
          <w:lang w:val="en-US" w:eastAsia="zh-CN"/>
        </w:rPr>
        <w:t>100%</w:t>
      </w:r>
      <w:r>
        <w:rPr>
          <w:rFonts w:hint="eastAsia" w:ascii="Times New Roman" w:hAnsi="Times New Roman" w:eastAsia="仿宋_GB2312" w:cs="Times New Roman"/>
          <w:color w:val="424242"/>
          <w:sz w:val="32"/>
          <w:szCs w:val="32"/>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i w:val="0"/>
          <w:iCs w:val="0"/>
          <w:caps w:val="0"/>
          <w:color w:val="000000"/>
          <w:spacing w:val="15"/>
          <w:sz w:val="24"/>
          <w:szCs w:val="24"/>
        </w:rPr>
      </w:pPr>
      <w:r>
        <w:rPr>
          <w:rFonts w:hint="eastAsia" w:ascii="楷体_GB2312" w:hAnsi="Calibri" w:eastAsia="楷体_GB2312" w:cs="楷体_GB2312"/>
          <w:i w:val="0"/>
          <w:iCs w:val="0"/>
          <w:caps w:val="0"/>
          <w:color w:val="000000"/>
          <w:spacing w:val="15"/>
          <w:sz w:val="31"/>
          <w:szCs w:val="31"/>
          <w:shd w:val="clear" w:fill="FFFFFF"/>
        </w:rPr>
        <w:t>（三）政府信息管理情况</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424242"/>
          <w:sz w:val="32"/>
          <w:szCs w:val="32"/>
          <w:shd w:val="clear" w:color="auto" w:fill="FFFFFF"/>
          <w:lang w:eastAsia="zh-CN"/>
        </w:rPr>
      </w:pPr>
      <w:r>
        <w:rPr>
          <w:rFonts w:hint="default" w:ascii="Times New Roman" w:hAnsi="Times New Roman" w:eastAsia="仿宋_GB2312" w:cs="Times New Roman"/>
          <w:color w:val="424242"/>
          <w:sz w:val="32"/>
          <w:szCs w:val="32"/>
          <w:shd w:val="clear" w:color="auto" w:fill="FFFFFF"/>
          <w:lang w:val="en-US" w:eastAsia="zh-CN"/>
        </w:rPr>
        <w:t>在严格遵循保密审查程序的基础上，在规定时限内做到应公开尽公开，提高信息透明度，全年重点在区政府门户网站国有土地上房屋征收与补偿栏目主动公开各类项目征收决定公告、征收补偿方案征求意见、开发方案征求意见、评估机构报名、评估调查报告等16件</w:t>
      </w:r>
      <w:r>
        <w:rPr>
          <w:rFonts w:hint="eastAsia" w:ascii="Times New Roman" w:hAnsi="Times New Roman" w:eastAsia="仿宋_GB2312" w:cs="Times New Roman"/>
          <w:color w:val="424242"/>
          <w:sz w:val="32"/>
          <w:szCs w:val="32"/>
          <w:shd w:val="clear" w:color="auto" w:fill="FFFFFF"/>
          <w:lang w:eastAsia="zh-CN"/>
        </w:rPr>
        <w:t>。</w:t>
      </w:r>
    </w:p>
    <w:p>
      <w:pPr>
        <w:pStyle w:val="4"/>
        <w:widowControl/>
        <w:spacing w:line="560" w:lineRule="exact"/>
        <w:ind w:firstLine="640" w:firstLineChars="200"/>
        <w:jc w:val="both"/>
        <w:rPr>
          <w:rFonts w:hint="default" w:ascii="Times New Roman" w:hAnsi="Times New Roman" w:eastAsia="黑体" w:cs="Times New Roman"/>
          <w:color w:val="333333"/>
          <w:sz w:val="32"/>
          <w:szCs w:val="32"/>
        </w:rPr>
      </w:pPr>
      <w:r>
        <w:rPr>
          <w:rFonts w:hint="default" w:ascii="Times New Roman" w:hAnsi="Times New Roman" w:eastAsia="黑体" w:cs="Times New Roman"/>
          <w:color w:val="333333"/>
          <w:sz w:val="32"/>
          <w:szCs w:val="32"/>
        </w:rPr>
        <w:t xml:space="preserve">二、主动公开政府信息情况       </w:t>
      </w:r>
    </w:p>
    <w:p>
      <w:pPr>
        <w:spacing w:line="560" w:lineRule="exact"/>
        <w:ind w:firstLine="640" w:firstLineChars="200"/>
        <w:rPr>
          <w:rFonts w:hint="default" w:ascii="Times New Roman" w:hAnsi="Times New Roman" w:eastAsia="仿宋_GB2312" w:cs="Times New Roman"/>
          <w:color w:val="424242"/>
          <w:kern w:val="0"/>
          <w:sz w:val="32"/>
          <w:szCs w:val="32"/>
          <w:shd w:val="clear" w:color="auto" w:fill="FFFFFF"/>
        </w:rPr>
      </w:pPr>
      <w:r>
        <w:rPr>
          <w:rFonts w:hint="default" w:ascii="Times New Roman" w:hAnsi="Times New Roman" w:eastAsia="仿宋_GB2312" w:cs="Times New Roman"/>
          <w:color w:val="424242"/>
          <w:kern w:val="0"/>
          <w:sz w:val="32"/>
          <w:szCs w:val="32"/>
          <w:shd w:val="clear" w:color="auto" w:fill="FFFFFF"/>
          <w:lang w:eastAsia="zh-CN"/>
        </w:rPr>
        <w:t>2023</w:t>
      </w:r>
      <w:r>
        <w:rPr>
          <w:rFonts w:hint="default" w:ascii="Times New Roman" w:hAnsi="Times New Roman" w:eastAsia="仿宋_GB2312" w:cs="Times New Roman"/>
          <w:color w:val="424242"/>
          <w:kern w:val="0"/>
          <w:sz w:val="32"/>
          <w:szCs w:val="32"/>
          <w:shd w:val="clear" w:color="auto" w:fill="FFFFFF"/>
        </w:rPr>
        <w:t>年度，汉阳城区改造更新局在区政府门户网上主动公开征收补偿相关信息</w:t>
      </w:r>
      <w:r>
        <w:rPr>
          <w:rFonts w:hint="default" w:ascii="Times New Roman" w:hAnsi="Times New Roman" w:eastAsia="仿宋_GB2312" w:cs="Times New Roman"/>
          <w:color w:val="424242"/>
          <w:kern w:val="0"/>
          <w:sz w:val="32"/>
          <w:szCs w:val="32"/>
          <w:shd w:val="clear" w:color="auto" w:fill="FFFFFF"/>
          <w:lang w:val="en-US" w:eastAsia="zh-CN"/>
        </w:rPr>
        <w:t>4</w:t>
      </w:r>
      <w:r>
        <w:rPr>
          <w:rFonts w:hint="default" w:ascii="Times New Roman" w:hAnsi="Times New Roman" w:eastAsia="仿宋_GB2312" w:cs="Times New Roman"/>
          <w:color w:val="424242"/>
          <w:kern w:val="0"/>
          <w:sz w:val="32"/>
          <w:szCs w:val="32"/>
          <w:shd w:val="clear" w:color="auto" w:fill="FFFFFF"/>
        </w:rPr>
        <w:t>条，机构职能信息</w:t>
      </w:r>
      <w:r>
        <w:rPr>
          <w:rFonts w:hint="default" w:ascii="Times New Roman" w:hAnsi="Times New Roman" w:eastAsia="仿宋_GB2312" w:cs="Times New Roman"/>
          <w:color w:val="424242"/>
          <w:kern w:val="0"/>
          <w:sz w:val="32"/>
          <w:szCs w:val="32"/>
          <w:shd w:val="clear" w:color="auto" w:fill="FFFFFF"/>
          <w:lang w:val="en-US" w:eastAsia="zh-CN"/>
        </w:rPr>
        <w:t>0</w:t>
      </w:r>
      <w:r>
        <w:rPr>
          <w:rFonts w:hint="default" w:ascii="Times New Roman" w:hAnsi="Times New Roman" w:eastAsia="仿宋_GB2312" w:cs="Times New Roman"/>
          <w:color w:val="424242"/>
          <w:kern w:val="0"/>
          <w:sz w:val="32"/>
          <w:szCs w:val="32"/>
          <w:shd w:val="clear" w:color="auto" w:fill="FFFFFF"/>
        </w:rPr>
        <w:t>条，政策解读信息</w:t>
      </w:r>
      <w:r>
        <w:rPr>
          <w:rFonts w:hint="default" w:ascii="Times New Roman" w:hAnsi="Times New Roman" w:eastAsia="仿宋_GB2312" w:cs="Times New Roman"/>
          <w:color w:val="424242"/>
          <w:kern w:val="0"/>
          <w:sz w:val="32"/>
          <w:szCs w:val="32"/>
          <w:shd w:val="clear" w:color="auto" w:fill="FFFFFF"/>
          <w:lang w:val="en-US" w:eastAsia="zh-CN"/>
        </w:rPr>
        <w:t>1</w:t>
      </w:r>
      <w:r>
        <w:rPr>
          <w:rFonts w:hint="default" w:ascii="Times New Roman" w:hAnsi="Times New Roman" w:eastAsia="仿宋_GB2312" w:cs="Times New Roman"/>
          <w:color w:val="424242"/>
          <w:kern w:val="0"/>
          <w:sz w:val="32"/>
          <w:szCs w:val="32"/>
          <w:shd w:val="clear" w:color="auto" w:fill="FFFFFF"/>
        </w:rPr>
        <w:t xml:space="preserve">条。根据全区统一部署，在政府门户网上设立国有土地上房屋征收与补偿栏目，并及时在栏目上发布最新有关征收及补偿的政府信息。 </w:t>
      </w:r>
    </w:p>
    <w:p>
      <w:pPr>
        <w:spacing w:line="560" w:lineRule="exact"/>
        <w:ind w:firstLine="640" w:firstLineChars="200"/>
        <w:rPr>
          <w:rFonts w:hint="eastAsia" w:ascii="Times New Roman" w:hAnsi="Times New Roman" w:eastAsia="仿宋_GB2312" w:cs="Times New Roman"/>
          <w:color w:val="424242"/>
          <w:kern w:val="0"/>
          <w:sz w:val="32"/>
          <w:szCs w:val="32"/>
          <w:shd w:val="clear" w:color="auto" w:fill="FFFFFF"/>
        </w:rPr>
      </w:pPr>
    </w:p>
    <w:tbl>
      <w:tblPr>
        <w:tblStyle w:val="5"/>
        <w:tblW w:w="5000" w:type="pct"/>
        <w:jc w:val="center"/>
        <w:tblLayout w:type="autofit"/>
        <w:tblCellMar>
          <w:top w:w="0" w:type="dxa"/>
          <w:left w:w="0" w:type="dxa"/>
          <w:bottom w:w="0" w:type="dxa"/>
          <w:right w:w="0" w:type="dxa"/>
        </w:tblCellMar>
      </w:tblPr>
      <w:tblGrid>
        <w:gridCol w:w="2239"/>
        <w:gridCol w:w="2240"/>
        <w:gridCol w:w="2240"/>
        <w:gridCol w:w="2240"/>
      </w:tblGrid>
      <w:tr>
        <w:tblPrEx>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第二十条第（一）项</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本年</w:t>
            </w:r>
            <w:r>
              <w:rPr>
                <w:rFonts w:hint="eastAsia" w:ascii="宋体" w:hAnsi="宋体" w:eastAsia="宋体" w:cs="宋体"/>
                <w:color w:val="333333"/>
                <w:kern w:val="0"/>
                <w:szCs w:val="21"/>
              </w:rPr>
              <w:t>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rFonts w:ascii="宋体" w:hAnsi="宋体" w:eastAsia="宋体" w:cs="宋体"/>
                <w:color w:val="333333"/>
                <w:kern w:val="0"/>
                <w:szCs w:val="21"/>
              </w:rPr>
            </w:pPr>
            <w:r>
              <w:rPr>
                <w:rFonts w:hint="eastAsia" w:ascii="宋体" w:hAnsi="宋体" w:eastAsia="宋体" w:cs="宋体"/>
                <w:color w:val="000000"/>
                <w:kern w:val="0"/>
                <w:szCs w:val="21"/>
              </w:rPr>
              <w:t>现行有效件</w:t>
            </w:r>
            <w:r>
              <w:rPr>
                <w:rFonts w:hint="eastAsia" w:ascii="宋体" w:hAnsi="宋体" w:eastAsia="宋体" w:cs="宋体"/>
                <w:color w:val="333333"/>
                <w:kern w:val="0"/>
                <w:szCs w:val="21"/>
              </w:rPr>
              <w:t>数</w:t>
            </w:r>
          </w:p>
          <w:p>
            <w:pPr>
              <w:widowControl/>
              <w:spacing w:line="30" w:lineRule="atLeast"/>
              <w:jc w:val="center"/>
              <w:rPr>
                <w:szCs w:val="21"/>
              </w:rPr>
            </w:pPr>
            <w:r>
              <w:rPr>
                <w:rFonts w:hint="eastAsia" w:ascii="宋体" w:hAnsi="宋体" w:eastAsia="宋体" w:cs="宋体"/>
                <w:color w:val="333333"/>
                <w:kern w:val="0"/>
                <w:szCs w:val="21"/>
              </w:rPr>
              <w:t>（历史累计）</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left"/>
              <w:rPr>
                <w:szCs w:val="21"/>
              </w:rPr>
            </w:pPr>
            <w:r>
              <w:rPr>
                <w:rFonts w:hint="eastAsia" w:ascii="宋体" w:hAnsi="宋体" w:eastAsia="宋体" w:cs="宋体"/>
                <w:color w:val="000000"/>
                <w:kern w:val="0"/>
                <w:szCs w:val="21"/>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Times New Roman" w:hAnsi="Times New Roman" w:eastAsia="宋体" w:cs="宋体"/>
                <w:color w:val="000000"/>
                <w:kern w:val="0"/>
                <w:szCs w:val="21"/>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widowControl/>
              <w:spacing w:line="30" w:lineRule="atLeast"/>
              <w:jc w:val="center"/>
              <w:rPr>
                <w:szCs w:val="21"/>
              </w:rPr>
            </w:pPr>
            <w:r>
              <w:rPr>
                <w:rFonts w:hint="eastAsia" w:ascii="Times New Roman" w:hAnsi="Times New Roman" w:eastAsia="宋体" w:cs="宋体"/>
                <w:color w:val="000000"/>
                <w:kern w:val="0"/>
                <w:szCs w:val="21"/>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Times New Roman" w:hAnsi="Times New Roman" w:eastAsia="宋体" w:cs="Calibri"/>
                <w:color w:val="333333"/>
                <w:szCs w:val="21"/>
              </w:rPr>
              <w:t>0</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left"/>
              <w:rPr>
                <w:szCs w:val="21"/>
              </w:rPr>
            </w:pPr>
            <w:r>
              <w:rPr>
                <w:rFonts w:hint="eastAsia" w:ascii="宋体" w:hAnsi="宋体" w:eastAsia="宋体" w:cs="宋体"/>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Times New Roman" w:hAnsi="Times New Roman" w:eastAsia="宋体" w:cs="宋体"/>
                <w:color w:val="000000"/>
                <w:kern w:val="0"/>
                <w:szCs w:val="21"/>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widowControl/>
              <w:spacing w:line="30" w:lineRule="atLeast"/>
              <w:jc w:val="center"/>
              <w:rPr>
                <w:szCs w:val="21"/>
              </w:rPr>
            </w:pPr>
            <w:r>
              <w:rPr>
                <w:rFonts w:hint="eastAsia" w:ascii="Times New Roman" w:hAnsi="Times New Roman" w:eastAsia="宋体" w:cs="宋体"/>
                <w:color w:val="000000"/>
                <w:kern w:val="0"/>
                <w:szCs w:val="21"/>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Times New Roman" w:hAnsi="Times New Roman" w:eastAsia="宋体" w:cs="Calibri"/>
                <w:color w:val="333333"/>
                <w:szCs w:val="21"/>
              </w:rPr>
              <w:t>0</w:t>
            </w:r>
          </w:p>
        </w:tc>
      </w:tr>
      <w:tr>
        <w:tblPrEx>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第二十条第（五）项</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本年处理决定数量</w:t>
            </w:r>
          </w:p>
        </w:tc>
      </w:tr>
      <w:tr>
        <w:tblPrEx>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widowControl/>
              <w:spacing w:line="30" w:lineRule="atLeast"/>
              <w:jc w:val="left"/>
              <w:rPr>
                <w:szCs w:val="21"/>
              </w:rPr>
            </w:pPr>
            <w:r>
              <w:rPr>
                <w:rFonts w:hint="eastAsia" w:ascii="宋体" w:hAnsi="宋体" w:eastAsia="宋体" w:cs="宋体"/>
                <w:color w:val="000000"/>
                <w:kern w:val="0"/>
                <w:szCs w:val="21"/>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Times New Roman" w:hAnsi="Times New Roman" w:eastAsia="宋体" w:cs="Calibri"/>
                <w:color w:val="333333"/>
                <w:szCs w:val="21"/>
              </w:rPr>
              <w:t>0</w:t>
            </w:r>
          </w:p>
        </w:tc>
      </w:tr>
      <w:tr>
        <w:tblPrEx>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第二十条第（六）项</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本年处理决定数量</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left"/>
              <w:rPr>
                <w:szCs w:val="21"/>
              </w:rPr>
            </w:pPr>
            <w:r>
              <w:rPr>
                <w:rFonts w:hint="eastAsia" w:ascii="宋体" w:hAnsi="宋体" w:eastAsia="宋体" w:cs="宋体"/>
                <w:color w:val="000000"/>
                <w:kern w:val="0"/>
                <w:szCs w:val="21"/>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Times New Roman" w:hAnsi="Times New Roman" w:eastAsia="宋体" w:cs="宋体"/>
                <w:color w:val="000000"/>
                <w:kern w:val="0"/>
                <w:szCs w:val="21"/>
              </w:rPr>
              <w:t>0</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left"/>
              <w:rPr>
                <w:szCs w:val="21"/>
              </w:rPr>
            </w:pPr>
            <w:r>
              <w:rPr>
                <w:rFonts w:hint="eastAsia" w:ascii="宋体" w:hAnsi="宋体" w:eastAsia="宋体" w:cs="宋体"/>
                <w:color w:val="000000"/>
                <w:kern w:val="0"/>
                <w:szCs w:val="21"/>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Times New Roman" w:hAnsi="Times New Roman" w:eastAsia="宋体" w:cs="宋体"/>
                <w:color w:val="000000"/>
                <w:kern w:val="0"/>
                <w:szCs w:val="21"/>
              </w:rPr>
              <w:t>0</w:t>
            </w:r>
          </w:p>
        </w:tc>
      </w:tr>
      <w:tr>
        <w:tblPrEx>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第二十条第（八）项</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spacing w:line="30" w:lineRule="atLeast"/>
              <w:jc w:val="center"/>
              <w:rPr>
                <w:szCs w:val="21"/>
              </w:rPr>
            </w:pPr>
            <w:r>
              <w:rPr>
                <w:rFonts w:hint="eastAsia" w:ascii="宋体" w:hAnsi="宋体" w:eastAsia="宋体" w:cs="宋体"/>
                <w:color w:val="000000"/>
                <w:kern w:val="0"/>
                <w:szCs w:val="21"/>
              </w:rPr>
              <w:t>本年收费金额（单位：万元）</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left"/>
              <w:rPr>
                <w:szCs w:val="21"/>
              </w:rPr>
            </w:pPr>
            <w:r>
              <w:rPr>
                <w:rFonts w:hint="eastAsia" w:ascii="宋体" w:hAnsi="宋体" w:eastAsia="宋体" w:cs="宋体"/>
                <w:color w:val="000000"/>
                <w:kern w:val="0"/>
                <w:szCs w:val="21"/>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ascii="宋体" w:hAnsi="宋体" w:eastAsia="宋体" w:cs="宋体"/>
                <w:color w:val="333333"/>
                <w:szCs w:val="21"/>
              </w:rPr>
            </w:pPr>
            <w:r>
              <w:rPr>
                <w:rFonts w:hint="eastAsia" w:ascii="Times New Roman" w:hAnsi="Times New Roman" w:eastAsia="宋体" w:cs="宋体"/>
                <w:color w:val="333333"/>
                <w:szCs w:val="21"/>
              </w:rPr>
              <w:t>0</w:t>
            </w:r>
          </w:p>
        </w:tc>
      </w:tr>
    </w:tbl>
    <w:p>
      <w:pPr>
        <w:pStyle w:val="4"/>
        <w:widowControl/>
        <w:spacing w:line="560" w:lineRule="exact"/>
        <w:ind w:firstLine="640" w:firstLineChars="200"/>
        <w:jc w:val="both"/>
        <w:rPr>
          <w:rFonts w:hint="default" w:ascii="Times New Roman" w:hAnsi="Times New Roman" w:eastAsia="黑体" w:cs="Times New Roman"/>
          <w:color w:val="333333"/>
          <w:sz w:val="32"/>
          <w:szCs w:val="32"/>
        </w:rPr>
      </w:pPr>
    </w:p>
    <w:p>
      <w:pPr>
        <w:pStyle w:val="4"/>
        <w:widowControl/>
        <w:spacing w:line="560" w:lineRule="exact"/>
        <w:ind w:firstLine="640" w:firstLineChars="200"/>
        <w:jc w:val="both"/>
        <w:rPr>
          <w:rFonts w:hint="default" w:ascii="Times New Roman" w:hAnsi="Times New Roman" w:eastAsia="黑体" w:cs="Times New Roman"/>
          <w:color w:val="333333"/>
          <w:sz w:val="32"/>
          <w:szCs w:val="32"/>
        </w:rPr>
      </w:pPr>
    </w:p>
    <w:p>
      <w:pPr>
        <w:pStyle w:val="4"/>
        <w:widowControl/>
        <w:spacing w:line="560" w:lineRule="exact"/>
        <w:ind w:firstLine="640" w:firstLineChars="200"/>
        <w:jc w:val="both"/>
        <w:rPr>
          <w:rFonts w:hint="default" w:ascii="Times New Roman" w:hAnsi="Times New Roman" w:eastAsia="黑体" w:cs="Times New Roman"/>
          <w:color w:val="333333"/>
          <w:sz w:val="32"/>
          <w:szCs w:val="32"/>
        </w:rPr>
      </w:pPr>
    </w:p>
    <w:p>
      <w:pPr>
        <w:pStyle w:val="4"/>
        <w:widowControl/>
        <w:spacing w:line="560" w:lineRule="exact"/>
        <w:ind w:firstLine="640" w:firstLineChars="200"/>
        <w:jc w:val="both"/>
        <w:rPr>
          <w:rFonts w:hint="default" w:ascii="Times New Roman" w:hAnsi="Times New Roman" w:eastAsia="黑体" w:cs="Times New Roman"/>
          <w:color w:val="333333"/>
          <w:sz w:val="32"/>
          <w:szCs w:val="32"/>
        </w:rPr>
      </w:pPr>
    </w:p>
    <w:p>
      <w:pPr>
        <w:pStyle w:val="4"/>
        <w:widowControl/>
        <w:spacing w:line="560" w:lineRule="exact"/>
        <w:ind w:firstLine="640" w:firstLineChars="200"/>
        <w:jc w:val="both"/>
        <w:rPr>
          <w:rFonts w:hint="default" w:ascii="Times New Roman" w:hAnsi="Times New Roman" w:eastAsia="黑体" w:cs="Times New Roman"/>
          <w:color w:val="333333"/>
          <w:sz w:val="32"/>
          <w:szCs w:val="32"/>
        </w:rPr>
      </w:pPr>
    </w:p>
    <w:p>
      <w:pPr>
        <w:pStyle w:val="4"/>
        <w:widowControl/>
        <w:spacing w:line="560" w:lineRule="exact"/>
        <w:ind w:firstLine="640" w:firstLineChars="200"/>
        <w:jc w:val="both"/>
        <w:rPr>
          <w:rFonts w:hint="default" w:ascii="Times New Roman" w:hAnsi="Times New Roman" w:eastAsia="黑体" w:cs="Times New Roman"/>
          <w:color w:val="333333"/>
          <w:sz w:val="32"/>
          <w:szCs w:val="32"/>
        </w:rPr>
      </w:pPr>
    </w:p>
    <w:p>
      <w:pPr>
        <w:pStyle w:val="4"/>
        <w:widowControl/>
        <w:spacing w:line="560" w:lineRule="exact"/>
        <w:ind w:firstLine="640" w:firstLineChars="200"/>
        <w:jc w:val="both"/>
        <w:rPr>
          <w:rFonts w:hint="default" w:ascii="Times New Roman" w:hAnsi="Times New Roman" w:eastAsia="黑体" w:cs="Times New Roman"/>
          <w:color w:val="333333"/>
          <w:sz w:val="32"/>
          <w:szCs w:val="32"/>
        </w:rPr>
      </w:pPr>
      <w:bookmarkStart w:id="0" w:name="_GoBack"/>
      <w:bookmarkEnd w:id="0"/>
      <w:r>
        <w:rPr>
          <w:rFonts w:hint="default" w:ascii="Times New Roman" w:hAnsi="Times New Roman" w:eastAsia="黑体" w:cs="Times New Roman"/>
          <w:color w:val="333333"/>
          <w:sz w:val="32"/>
          <w:szCs w:val="32"/>
        </w:rPr>
        <w:t>三、收到和处理政府信息公开申请情况</w:t>
      </w:r>
    </w:p>
    <w:p>
      <w:pPr>
        <w:pStyle w:val="4"/>
        <w:widowControl/>
        <w:spacing w:line="560" w:lineRule="exact"/>
        <w:ind w:firstLine="640" w:firstLineChars="200"/>
        <w:jc w:val="both"/>
        <w:rPr>
          <w:rFonts w:hint="default" w:ascii="Times New Roman" w:hAnsi="Times New Roman" w:eastAsia="仿宋_GB2312" w:cs="Times New Roman"/>
          <w:color w:val="424242"/>
          <w:sz w:val="32"/>
          <w:szCs w:val="32"/>
          <w:shd w:val="clear" w:color="auto" w:fill="FFFFFF"/>
        </w:rPr>
      </w:pPr>
      <w:r>
        <w:rPr>
          <w:rFonts w:hint="default" w:ascii="Times New Roman" w:hAnsi="Times New Roman" w:eastAsia="仿宋_GB2312" w:cs="Times New Roman"/>
          <w:color w:val="424242"/>
          <w:sz w:val="32"/>
          <w:szCs w:val="32"/>
          <w:shd w:val="clear" w:color="auto" w:fill="FFFFFF"/>
          <w:lang w:eastAsia="zh-CN"/>
        </w:rPr>
        <w:t>2023</w:t>
      </w:r>
      <w:r>
        <w:rPr>
          <w:rFonts w:hint="default" w:ascii="Times New Roman" w:hAnsi="Times New Roman" w:eastAsia="仿宋_GB2312" w:cs="Times New Roman"/>
          <w:color w:val="424242"/>
          <w:sz w:val="32"/>
          <w:szCs w:val="32"/>
          <w:shd w:val="clear" w:color="auto" w:fill="FFFFFF"/>
        </w:rPr>
        <w:t>年度共收到政府信息公开申请</w:t>
      </w:r>
      <w:r>
        <w:rPr>
          <w:rFonts w:hint="default" w:ascii="Times New Roman" w:hAnsi="Times New Roman" w:eastAsia="仿宋_GB2312" w:cs="Times New Roman"/>
          <w:color w:val="424242"/>
          <w:sz w:val="32"/>
          <w:szCs w:val="32"/>
          <w:shd w:val="clear" w:color="auto" w:fill="FFFFFF"/>
          <w:lang w:val="en-US" w:eastAsia="zh-CN"/>
        </w:rPr>
        <w:t>36</w:t>
      </w:r>
      <w:r>
        <w:rPr>
          <w:rFonts w:hint="default" w:ascii="Times New Roman" w:hAnsi="Times New Roman" w:eastAsia="仿宋_GB2312" w:cs="Times New Roman"/>
          <w:color w:val="424242"/>
          <w:sz w:val="32"/>
          <w:szCs w:val="32"/>
          <w:shd w:val="clear" w:color="auto" w:fill="FFFFFF"/>
        </w:rPr>
        <w:t>件，</w:t>
      </w:r>
      <w:r>
        <w:rPr>
          <w:rFonts w:hint="eastAsia" w:ascii="Times New Roman" w:hAnsi="Times New Roman" w:eastAsia="仿宋_GB2312" w:cs="Times New Roman"/>
          <w:color w:val="424242"/>
          <w:sz w:val="32"/>
          <w:szCs w:val="32"/>
          <w:shd w:val="clear" w:color="auto" w:fill="FFFFFF"/>
          <w:lang w:eastAsia="zh-CN"/>
        </w:rPr>
        <w:t>其中予以公开</w:t>
      </w:r>
      <w:r>
        <w:rPr>
          <w:rFonts w:hint="eastAsia" w:ascii="Times New Roman" w:hAnsi="Times New Roman" w:eastAsia="仿宋_GB2312" w:cs="Times New Roman"/>
          <w:color w:val="424242"/>
          <w:sz w:val="32"/>
          <w:szCs w:val="32"/>
          <w:shd w:val="clear" w:color="auto" w:fill="FFFFFF"/>
          <w:lang w:val="en-US" w:eastAsia="zh-CN"/>
        </w:rPr>
        <w:t>9件、部分公开17件、因保护第三方合法权益不予公开3件、因本机关不掌握相关政府信息无法提供7件。</w:t>
      </w:r>
      <w:r>
        <w:rPr>
          <w:rFonts w:hint="default" w:ascii="Times New Roman" w:hAnsi="Times New Roman" w:eastAsia="仿宋_GB2312" w:cs="Times New Roman"/>
          <w:color w:val="424242"/>
          <w:sz w:val="32"/>
          <w:szCs w:val="32"/>
          <w:shd w:val="clear" w:color="auto" w:fill="FFFFFF"/>
        </w:rPr>
        <w:t>均在信息公开规定答复期限内办理并答复申请人，做到了事事有回音。</w:t>
      </w:r>
    </w:p>
    <w:p>
      <w:pPr>
        <w:pStyle w:val="4"/>
        <w:widowControl/>
        <w:spacing w:line="560" w:lineRule="exact"/>
        <w:ind w:firstLine="640" w:firstLineChars="200"/>
        <w:jc w:val="both"/>
        <w:rPr>
          <w:rFonts w:hint="default" w:ascii="Times New Roman" w:hAnsi="Times New Roman" w:eastAsia="仿宋_GB2312" w:cs="Times New Roman"/>
          <w:color w:val="424242"/>
          <w:sz w:val="32"/>
          <w:szCs w:val="32"/>
          <w:shd w:val="clear" w:color="auto" w:fill="FFFFFF"/>
        </w:rPr>
      </w:pPr>
    </w:p>
    <w:tbl>
      <w:tblPr>
        <w:tblStyle w:val="5"/>
        <w:tblW w:w="4970"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57" w:type="dxa"/>
          <w:bottom w:w="0" w:type="dxa"/>
          <w:right w:w="57" w:type="dxa"/>
        </w:tblCellMar>
      </w:tblPr>
      <w:tblGrid>
        <w:gridCol w:w="689"/>
        <w:gridCol w:w="844"/>
        <w:gridCol w:w="3013"/>
        <w:gridCol w:w="627"/>
        <w:gridCol w:w="627"/>
        <w:gridCol w:w="627"/>
        <w:gridCol w:w="627"/>
        <w:gridCol w:w="629"/>
        <w:gridCol w:w="639"/>
        <w:gridCol w:w="63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8"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widowControl/>
              <w:spacing w:line="30" w:lineRule="atLeast"/>
              <w:jc w:val="left"/>
            </w:pPr>
            <w:r>
              <w:rPr>
                <w:rFonts w:hint="eastAsia" w:ascii="楷体" w:hAnsi="楷体" w:eastAsia="楷体" w:cs="楷体"/>
                <w:color w:val="333333"/>
                <w:kern w:val="0"/>
                <w:sz w:val="20"/>
                <w:szCs w:val="20"/>
              </w:rPr>
              <w:t>（本列数据的勾稽关系为：第一项加第二项之和，等于第三项加第四项之和）</w:t>
            </w:r>
          </w:p>
        </w:tc>
        <w:tc>
          <w:tcPr>
            <w:tcW w:w="2461" w:type="pct"/>
            <w:gridSpan w:val="7"/>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8"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ascii="宋体" w:hAnsi="宋体" w:eastAsia="宋体" w:cs="宋体"/>
                <w:color w:val="333333"/>
                <w:szCs w:val="21"/>
              </w:rPr>
            </w:pPr>
          </w:p>
        </w:tc>
        <w:tc>
          <w:tcPr>
            <w:tcW w:w="350" w:type="pct"/>
            <w:vMerge w:val="restar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自然人</w:t>
            </w:r>
          </w:p>
        </w:tc>
        <w:tc>
          <w:tcPr>
            <w:tcW w:w="1758" w:type="pct"/>
            <w:gridSpan w:val="5"/>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法人或其他组织</w:t>
            </w:r>
          </w:p>
        </w:tc>
        <w:tc>
          <w:tcPr>
            <w:tcW w:w="352" w:type="pct"/>
            <w:vMerge w:val="restart"/>
            <w:tcBorders>
              <w:top w:val="single" w:color="auto" w:sz="8" w:space="0"/>
              <w:left w:val="nil"/>
              <w:bottom w:val="outset" w:color="auto" w:sz="6"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8"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ascii="宋体" w:hAnsi="宋体" w:eastAsia="宋体" w:cs="宋体"/>
                <w:color w:val="333333"/>
                <w:szCs w:val="21"/>
              </w:rPr>
            </w:pPr>
          </w:p>
        </w:tc>
        <w:tc>
          <w:tcPr>
            <w:tcW w:w="350" w:type="pct"/>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333333"/>
                <w:szCs w:val="21"/>
              </w:rPr>
            </w:pP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商业</w:t>
            </w:r>
          </w:p>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企业</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科研</w:t>
            </w:r>
          </w:p>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机构</w:t>
            </w:r>
          </w:p>
        </w:tc>
        <w:tc>
          <w:tcPr>
            <w:tcW w:w="350" w:type="pct"/>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社会公益组织</w:t>
            </w:r>
          </w:p>
        </w:tc>
        <w:tc>
          <w:tcPr>
            <w:tcW w:w="351" w:type="pct"/>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法律服务机构</w:t>
            </w:r>
          </w:p>
        </w:tc>
        <w:tc>
          <w:tcPr>
            <w:tcW w:w="354" w:type="pct"/>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宋体" w:hAnsi="宋体" w:eastAsia="宋体" w:cs="宋体"/>
                <w:color w:val="333333"/>
                <w:kern w:val="0"/>
                <w:szCs w:val="21"/>
              </w:rPr>
              <w:t>其他</w:t>
            </w:r>
          </w:p>
        </w:tc>
        <w:tc>
          <w:tcPr>
            <w:tcW w:w="352" w:type="pct"/>
            <w:vMerge w:val="continue"/>
            <w:tcBorders>
              <w:top w:val="single" w:color="auto" w:sz="8" w:space="0"/>
              <w:left w:val="nil"/>
              <w:bottom w:val="outset" w:color="auto" w:sz="6" w:space="0"/>
              <w:right w:val="single" w:color="auto" w:sz="8" w:space="0"/>
            </w:tcBorders>
            <w:shd w:val="clear" w:color="auto" w:fill="auto"/>
            <w:vAlign w:val="center"/>
          </w:tcPr>
          <w:p>
            <w:pPr>
              <w:jc w:val="left"/>
              <w:rPr>
                <w:rFonts w:ascii="宋体" w:hAnsi="宋体" w:eastAsia="宋体" w:cs="宋体"/>
                <w:color w:val="333333"/>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8" w:type="pct"/>
            <w:gridSpan w:val="3"/>
            <w:tcBorders>
              <w:top w:val="nil"/>
              <w:left w:val="single" w:color="auto" w:sz="8" w:space="0"/>
              <w:bottom w:val="single" w:color="auto" w:sz="8"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一、本年新收政府信息公开申请数量</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hint="default" w:ascii="宋体" w:hAnsi="宋体" w:eastAsia="宋体" w:cs="宋体"/>
                <w:szCs w:val="21"/>
                <w:lang w:val="en-US" w:eastAsia="zh-CN"/>
              </w:rPr>
            </w:pPr>
            <w:r>
              <w:rPr>
                <w:rFonts w:hint="eastAsia" w:ascii="Times New Roman" w:hAnsi="Times New Roman" w:eastAsia="宋体" w:cs="宋体"/>
                <w:szCs w:val="21"/>
                <w:lang w:val="en-US" w:eastAsia="zh-CN"/>
              </w:rPr>
              <w:t>36</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hint="eastAsia" w:ascii="宋体" w:hAnsi="宋体" w:eastAsia="宋体" w:cs="宋体"/>
                <w:szCs w:val="21"/>
                <w:lang w:eastAsia="zh-CN"/>
              </w:rPr>
            </w:pPr>
            <w:r>
              <w:rPr>
                <w:rFonts w:hint="eastAsia" w:ascii="Times New Roman" w:hAnsi="Times New Roman" w:eastAsia="宋体" w:cs="宋体"/>
                <w:color w:val="333333"/>
                <w:kern w:val="0"/>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nil"/>
              <w:left w:val="nil"/>
              <w:bottom w:val="single" w:color="auto" w:sz="8" w:space="0"/>
              <w:right w:val="single" w:color="auto" w:sz="8" w:space="0"/>
            </w:tcBorders>
            <w:shd w:val="clear" w:color="auto" w:fill="auto"/>
          </w:tcPr>
          <w:p>
            <w:pPr>
              <w:widowControl/>
              <w:spacing w:line="30" w:lineRule="atLeast"/>
              <w:jc w:val="center"/>
              <w:rPr>
                <w:rFonts w:hint="default" w:ascii="宋体" w:hAnsi="宋体" w:eastAsia="宋体" w:cs="宋体"/>
                <w:szCs w:val="21"/>
                <w:lang w:val="en-US" w:eastAsia="zh-CN"/>
              </w:rPr>
            </w:pPr>
            <w:r>
              <w:rPr>
                <w:rFonts w:hint="eastAsia" w:ascii="Times New Roman" w:hAnsi="Times New Roman" w:eastAsia="宋体" w:cs="宋体"/>
                <w:color w:val="333333"/>
                <w:kern w:val="0"/>
                <w:szCs w:val="21"/>
                <w:lang w:val="en-US" w:eastAsia="zh-CN"/>
              </w:rPr>
              <w:t>36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8" w:type="pct"/>
            <w:gridSpan w:val="3"/>
            <w:tcBorders>
              <w:top w:val="nil"/>
              <w:left w:val="single" w:color="auto" w:sz="8" w:space="0"/>
              <w:bottom w:val="single" w:color="auto" w:sz="8"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二、上年结转政府信息公开申请数量</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restart"/>
            <w:tcBorders>
              <w:top w:val="nil"/>
              <w:left w:val="single" w:color="auto" w:sz="8" w:space="0"/>
              <w:bottom w:val="outset" w:color="auto" w:sz="6"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三、本年度办理结果</w:t>
            </w:r>
          </w:p>
        </w:tc>
        <w:tc>
          <w:tcPr>
            <w:tcW w:w="2152" w:type="pct"/>
            <w:gridSpan w:val="2"/>
            <w:tcBorders>
              <w:top w:val="nil"/>
              <w:left w:val="nil"/>
              <w:bottom w:val="single" w:color="auto" w:sz="8"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（一）予以公开</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hint="default" w:ascii="宋体" w:hAnsi="宋体" w:eastAsia="宋体" w:cs="宋体"/>
                <w:szCs w:val="21"/>
                <w:lang w:val="en-US" w:eastAsia="zh-CN"/>
              </w:rPr>
            </w:pPr>
            <w:r>
              <w:rPr>
                <w:rFonts w:hint="eastAsia" w:ascii="Times New Roman" w:hAnsi="Times New Roman" w:eastAsia="宋体" w:cs="宋体"/>
                <w:szCs w:val="21"/>
                <w:lang w:val="en-US" w:eastAsia="zh-CN"/>
              </w:rPr>
              <w:t>9</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hint="eastAsia" w:ascii="宋体" w:hAnsi="宋体" w:eastAsia="宋体" w:cs="宋体"/>
                <w:szCs w:val="21"/>
                <w:lang w:eastAsia="zh-CN"/>
              </w:rPr>
            </w:pPr>
            <w:r>
              <w:rPr>
                <w:rFonts w:hint="eastAsia" w:ascii="Times New Roman" w:hAnsi="Times New Roman" w:eastAsia="宋体" w:cs="宋体"/>
                <w:color w:val="333333"/>
                <w:kern w:val="0"/>
                <w:szCs w:val="21"/>
                <w:lang w:val="en-US" w:eastAsia="zh-CN"/>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（二）部分公开（区分处理的，只计这一情形，不计其他情形）</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hint="default" w:ascii="宋体" w:hAnsi="宋体" w:eastAsia="宋体" w:cs="宋体"/>
                <w:szCs w:val="21"/>
                <w:lang w:val="en-US" w:eastAsia="zh-CN"/>
              </w:rPr>
            </w:pPr>
            <w:r>
              <w:rPr>
                <w:rFonts w:hint="eastAsia" w:ascii="Times New Roman" w:hAnsi="Times New Roman" w:eastAsia="宋体" w:cs="宋体"/>
                <w:szCs w:val="21"/>
                <w:lang w:val="en-US" w:eastAsia="zh-CN"/>
              </w:rPr>
              <w:t>17</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hint="eastAsia" w:ascii="宋体" w:hAnsi="宋体" w:eastAsia="宋体" w:cs="宋体"/>
                <w:szCs w:val="21"/>
                <w:lang w:eastAsia="zh-CN"/>
              </w:rPr>
            </w:pPr>
            <w:r>
              <w:rPr>
                <w:rFonts w:hint="eastAsia" w:ascii="Times New Roman" w:hAnsi="Times New Roman" w:eastAsia="宋体" w:cs="宋体"/>
                <w:color w:val="333333"/>
                <w:kern w:val="0"/>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hint="default" w:ascii="宋体" w:hAnsi="宋体" w:eastAsia="宋体" w:cs="宋体"/>
                <w:szCs w:val="21"/>
                <w:lang w:val="en-US" w:eastAsia="zh-CN"/>
              </w:rPr>
            </w:pPr>
            <w:r>
              <w:rPr>
                <w:rFonts w:hint="eastAsia" w:ascii="Times New Roman" w:hAnsi="Times New Roman" w:eastAsia="宋体" w:cs="宋体"/>
                <w:color w:val="333333"/>
                <w:kern w:val="0"/>
                <w:szCs w:val="21"/>
                <w:lang w:val="en-US" w:eastAsia="zh-CN"/>
              </w:rPr>
              <w:t>17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restart"/>
            <w:tcBorders>
              <w:top w:val="nil"/>
              <w:left w:val="nil"/>
              <w:bottom w:val="outset" w:color="auto" w:sz="6"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（三）不予公开</w:t>
            </w:r>
          </w:p>
        </w:tc>
        <w:tc>
          <w:tcPr>
            <w:tcW w:w="1680"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imes New Roman" w:hAnsi="Times New Roman" w:cstheme="minorEastAsia"/>
                <w:color w:val="333333"/>
                <w:kern w:val="0"/>
                <w:szCs w:val="21"/>
              </w:rPr>
              <w:t>1</w:t>
            </w:r>
            <w:r>
              <w:rPr>
                <w:rFonts w:hint="eastAsia" w:asciiTheme="minorEastAsia" w:hAnsiTheme="minorEastAsia" w:cstheme="minorEastAsia"/>
                <w:color w:val="333333"/>
                <w:kern w:val="0"/>
                <w:szCs w:val="21"/>
              </w:rPr>
              <w:t>.属于国家秘密</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imes New Roman" w:hAnsi="Times New Roman" w:cstheme="minorEastAsia"/>
                <w:color w:val="333333"/>
                <w:kern w:val="0"/>
                <w:szCs w:val="21"/>
              </w:rPr>
              <w:t>2</w:t>
            </w:r>
            <w:r>
              <w:rPr>
                <w:rFonts w:hint="eastAsia" w:asciiTheme="minorEastAsia" w:hAnsiTheme="minorEastAsia" w:cstheme="minorEastAsia"/>
                <w:color w:val="333333"/>
                <w:kern w:val="0"/>
                <w:szCs w:val="21"/>
              </w:rPr>
              <w:t>.其他法律行政法规禁止公开</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imes New Roman" w:hAnsi="Times New Roman" w:cstheme="minorEastAsia"/>
                <w:color w:val="333333"/>
                <w:kern w:val="0"/>
                <w:szCs w:val="21"/>
              </w:rPr>
              <w:t>3</w:t>
            </w:r>
            <w:r>
              <w:rPr>
                <w:rFonts w:hint="eastAsia" w:asciiTheme="minorEastAsia" w:hAnsiTheme="minorEastAsia" w:cstheme="minorEastAsia"/>
                <w:color w:val="333333"/>
                <w:kern w:val="0"/>
                <w:szCs w:val="21"/>
              </w:rPr>
              <w:t>.危及“三安全一稳定”</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imes New Roman" w:hAnsi="Times New Roman" w:cstheme="minorEastAsia"/>
                <w:color w:val="333333"/>
                <w:kern w:val="0"/>
                <w:szCs w:val="21"/>
              </w:rPr>
              <w:t>4</w:t>
            </w:r>
            <w:r>
              <w:rPr>
                <w:rFonts w:hint="eastAsia" w:asciiTheme="minorEastAsia" w:hAnsiTheme="minorEastAsia" w:cstheme="minorEastAsia"/>
                <w:color w:val="333333"/>
                <w:kern w:val="0"/>
                <w:szCs w:val="21"/>
              </w:rPr>
              <w:t>.保护第三方合法权益</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hint="eastAsia" w:ascii="宋体" w:hAnsi="宋体" w:eastAsia="宋体" w:cs="宋体"/>
                <w:szCs w:val="21"/>
                <w:lang w:val="en-US" w:eastAsia="zh-CN"/>
              </w:rPr>
            </w:pPr>
            <w:r>
              <w:rPr>
                <w:rFonts w:hint="eastAsia" w:ascii="Times New Roman" w:hAnsi="Times New Roman" w:eastAsia="宋体" w:cs="宋体"/>
                <w:szCs w:val="21"/>
                <w:lang w:val="en-US" w:eastAsia="zh-CN"/>
              </w:rPr>
              <w:t>3</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nil"/>
              <w:left w:val="nil"/>
              <w:bottom w:val="single" w:color="auto" w:sz="8" w:space="0"/>
              <w:right w:val="single" w:color="auto" w:sz="8" w:space="0"/>
            </w:tcBorders>
            <w:shd w:val="clear" w:color="auto" w:fill="auto"/>
          </w:tcPr>
          <w:p>
            <w:pPr>
              <w:widowControl/>
              <w:spacing w:line="30" w:lineRule="atLeast"/>
              <w:jc w:val="center"/>
              <w:rPr>
                <w:rFonts w:hint="eastAsia" w:ascii="宋体" w:hAnsi="宋体" w:eastAsia="宋体" w:cs="宋体"/>
                <w:szCs w:val="21"/>
                <w:lang w:eastAsia="zh-CN"/>
              </w:rPr>
            </w:pPr>
            <w:r>
              <w:rPr>
                <w:rFonts w:hint="eastAsia" w:ascii="Times New Roman" w:hAnsi="Times New Roman" w:eastAsia="宋体" w:cs="宋体"/>
                <w:color w:val="333333"/>
                <w:kern w:val="0"/>
                <w:szCs w:val="21"/>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imes New Roman" w:hAnsi="Times New Roman" w:cstheme="minorEastAsia"/>
                <w:color w:val="333333"/>
                <w:kern w:val="0"/>
                <w:szCs w:val="21"/>
              </w:rPr>
              <w:t>5</w:t>
            </w:r>
            <w:r>
              <w:rPr>
                <w:rFonts w:hint="eastAsia" w:asciiTheme="minorEastAsia" w:hAnsiTheme="minorEastAsia" w:cstheme="minorEastAsia"/>
                <w:color w:val="333333"/>
                <w:kern w:val="0"/>
                <w:szCs w:val="21"/>
              </w:rPr>
              <w:t>.属于三类内部事务信息</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imes New Roman" w:hAnsi="Times New Roman" w:cstheme="minorEastAsia"/>
                <w:color w:val="333333"/>
                <w:kern w:val="0"/>
                <w:szCs w:val="21"/>
              </w:rPr>
              <w:t>6</w:t>
            </w:r>
            <w:r>
              <w:rPr>
                <w:rFonts w:hint="eastAsia" w:asciiTheme="minorEastAsia" w:hAnsiTheme="minorEastAsia" w:cstheme="minorEastAsia"/>
                <w:color w:val="333333"/>
                <w:kern w:val="0"/>
                <w:szCs w:val="21"/>
              </w:rPr>
              <w:t>.属于四类过程性信息</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imes New Roman" w:hAnsi="Times New Roman" w:cstheme="minorEastAsia"/>
                <w:color w:val="333333"/>
                <w:kern w:val="0"/>
                <w:szCs w:val="21"/>
              </w:rPr>
              <w:t>7</w:t>
            </w:r>
            <w:r>
              <w:rPr>
                <w:rFonts w:hint="eastAsia" w:asciiTheme="minorEastAsia" w:hAnsiTheme="minorEastAsia" w:cstheme="minorEastAsia"/>
                <w:color w:val="333333"/>
                <w:kern w:val="0"/>
                <w:szCs w:val="21"/>
              </w:rPr>
              <w:t>.属于行政执法案卷</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imes New Roman" w:hAnsi="Times New Roman" w:cstheme="minorEastAsia"/>
                <w:color w:val="333333"/>
                <w:kern w:val="0"/>
                <w:szCs w:val="21"/>
              </w:rPr>
              <w:t>8</w:t>
            </w:r>
            <w:r>
              <w:rPr>
                <w:rFonts w:hint="eastAsia" w:asciiTheme="minorEastAsia" w:hAnsiTheme="minorEastAsia" w:cstheme="minorEastAsia"/>
                <w:color w:val="333333"/>
                <w:kern w:val="0"/>
                <w:szCs w:val="21"/>
              </w:rPr>
              <w:t>.属于行政查询事项</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restart"/>
            <w:tcBorders>
              <w:top w:val="nil"/>
              <w:left w:val="nil"/>
              <w:bottom w:val="outset" w:color="auto" w:sz="6"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（四）无法提供</w:t>
            </w:r>
          </w:p>
        </w:tc>
        <w:tc>
          <w:tcPr>
            <w:tcW w:w="1680"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imes New Roman" w:hAnsi="Times New Roman" w:cstheme="minorEastAsia"/>
                <w:color w:val="333333"/>
                <w:kern w:val="0"/>
                <w:szCs w:val="21"/>
              </w:rPr>
              <w:t>1</w:t>
            </w:r>
            <w:r>
              <w:rPr>
                <w:rFonts w:hint="eastAsia" w:asciiTheme="minorEastAsia" w:hAnsiTheme="minorEastAsia" w:cstheme="minorEastAsia"/>
                <w:color w:val="333333"/>
                <w:kern w:val="0"/>
                <w:szCs w:val="21"/>
              </w:rPr>
              <w:t>.本机关不掌握相关政府信息</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hint="default" w:ascii="宋体" w:hAnsi="宋体" w:eastAsia="宋体" w:cs="宋体"/>
                <w:szCs w:val="21"/>
                <w:lang w:val="en-US" w:eastAsia="zh-CN"/>
              </w:rPr>
            </w:pPr>
            <w:r>
              <w:rPr>
                <w:rFonts w:hint="eastAsia" w:ascii="Times New Roman" w:hAnsi="Times New Roman" w:eastAsia="宋体" w:cs="宋体"/>
                <w:szCs w:val="21"/>
                <w:lang w:val="en-US" w:eastAsia="zh-CN"/>
              </w:rPr>
              <w:t>7</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hint="eastAsia" w:ascii="宋体" w:hAnsi="宋体" w:eastAsia="宋体" w:cs="宋体"/>
                <w:szCs w:val="21"/>
                <w:lang w:eastAsia="zh-CN"/>
              </w:rPr>
            </w:pPr>
            <w:r>
              <w:rPr>
                <w:rFonts w:hint="eastAsia" w:ascii="Times New Roman" w:hAnsi="Times New Roman" w:eastAsia="宋体" w:cs="宋体"/>
                <w:color w:val="333333"/>
                <w:kern w:val="0"/>
                <w:szCs w:val="21"/>
                <w:lang w:val="en-US" w:eastAsia="zh-CN"/>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nil"/>
              <w:left w:val="nil"/>
              <w:bottom w:val="single" w:color="auto" w:sz="8" w:space="0"/>
              <w:right w:val="single" w:color="auto" w:sz="8" w:space="0"/>
            </w:tcBorders>
            <w:shd w:val="clear" w:color="auto" w:fill="auto"/>
          </w:tcPr>
          <w:p>
            <w:pPr>
              <w:widowControl/>
              <w:spacing w:line="30" w:lineRule="atLeast"/>
              <w:jc w:val="center"/>
              <w:rPr>
                <w:rFonts w:hint="eastAsia" w:ascii="宋体" w:hAnsi="宋体" w:eastAsia="宋体" w:cs="宋体"/>
                <w:szCs w:val="21"/>
                <w:lang w:eastAsia="zh-CN"/>
              </w:rPr>
            </w:pPr>
            <w:r>
              <w:rPr>
                <w:rFonts w:hint="eastAsia" w:ascii="Times New Roman" w:hAnsi="Times New Roman" w:eastAsia="宋体" w:cs="宋体"/>
                <w:color w:val="333333"/>
                <w:kern w:val="0"/>
                <w:szCs w:val="21"/>
                <w:lang w:val="en-US" w:eastAsia="zh-CN"/>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imes New Roman" w:hAnsi="Times New Roman" w:cstheme="minorEastAsia"/>
                <w:color w:val="333333"/>
                <w:kern w:val="0"/>
                <w:szCs w:val="21"/>
              </w:rPr>
              <w:t>2</w:t>
            </w:r>
            <w:r>
              <w:rPr>
                <w:rFonts w:hint="eastAsia" w:asciiTheme="minorEastAsia" w:hAnsiTheme="minorEastAsia" w:cstheme="minorEastAsia"/>
                <w:color w:val="333333"/>
                <w:kern w:val="0"/>
                <w:szCs w:val="21"/>
              </w:rPr>
              <w:t>.没有现成信息需要另行制作</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hint="eastAsia" w:ascii="宋体" w:hAnsi="宋体" w:eastAsia="宋体" w:cs="宋体"/>
                <w:szCs w:val="21"/>
                <w:lang w:eastAsia="zh-CN"/>
              </w:rPr>
            </w:pPr>
            <w:r>
              <w:rPr>
                <w:rFonts w:hint="eastAsia" w:ascii="Times New Roman" w:hAnsi="Times New Roman" w:eastAsia="宋体" w:cs="宋体"/>
                <w:color w:val="333333"/>
                <w:kern w:val="0"/>
                <w:szCs w:val="21"/>
                <w:lang w:val="en-US" w:eastAsia="zh-CN"/>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nil"/>
              <w:left w:val="nil"/>
              <w:bottom w:val="single" w:color="auto" w:sz="8" w:space="0"/>
              <w:right w:val="single" w:color="auto" w:sz="8" w:space="0"/>
            </w:tcBorders>
            <w:shd w:val="clear" w:color="auto" w:fill="auto"/>
          </w:tcPr>
          <w:p>
            <w:pPr>
              <w:widowControl/>
              <w:spacing w:line="30" w:lineRule="atLeast"/>
              <w:jc w:val="center"/>
              <w:rPr>
                <w:rFonts w:hint="eastAsia" w:ascii="宋体" w:hAnsi="宋体" w:eastAsia="宋体" w:cs="宋体"/>
                <w:szCs w:val="21"/>
                <w:lang w:eastAsia="zh-CN"/>
              </w:rPr>
            </w:pPr>
            <w:r>
              <w:rPr>
                <w:rFonts w:hint="eastAsia" w:ascii="Times New Roman" w:hAnsi="Times New Roman" w:eastAsia="宋体" w:cs="宋体"/>
                <w:color w:val="333333"/>
                <w:kern w:val="0"/>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imes New Roman" w:hAnsi="Times New Roman" w:cstheme="minorEastAsia"/>
                <w:color w:val="333333"/>
                <w:kern w:val="0"/>
                <w:szCs w:val="21"/>
              </w:rPr>
              <w:t>3</w:t>
            </w:r>
            <w:r>
              <w:rPr>
                <w:rFonts w:hint="eastAsia" w:asciiTheme="minorEastAsia" w:hAnsiTheme="minorEastAsia" w:cstheme="minorEastAsia"/>
                <w:color w:val="333333"/>
                <w:kern w:val="0"/>
                <w:szCs w:val="21"/>
              </w:rPr>
              <w:t>.补正后申请内容仍不明确</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hint="eastAsia" w:ascii="宋体" w:hAnsi="宋体" w:eastAsia="宋体" w:cs="宋体"/>
                <w:szCs w:val="21"/>
                <w:lang w:val="en-US" w:eastAsia="zh-CN"/>
              </w:rPr>
            </w:pPr>
            <w:r>
              <w:rPr>
                <w:rFonts w:hint="eastAsia" w:ascii="Times New Roman" w:hAnsi="Times New Roman" w:eastAsia="宋体" w:cs="宋体"/>
                <w:szCs w:val="21"/>
                <w:lang w:val="en-US" w:eastAsia="zh-CN"/>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nil"/>
              <w:left w:val="nil"/>
              <w:bottom w:val="single" w:color="auto" w:sz="8" w:space="0"/>
              <w:right w:val="single" w:color="auto" w:sz="8" w:space="0"/>
            </w:tcBorders>
            <w:shd w:val="clear" w:color="auto" w:fill="auto"/>
          </w:tcPr>
          <w:p>
            <w:pPr>
              <w:widowControl/>
              <w:spacing w:line="30" w:lineRule="atLeast"/>
              <w:jc w:val="center"/>
              <w:rPr>
                <w:rFonts w:hint="eastAsia" w:ascii="宋体" w:hAnsi="宋体" w:eastAsia="宋体" w:cs="宋体"/>
                <w:szCs w:val="21"/>
                <w:lang w:eastAsia="zh-CN"/>
              </w:rPr>
            </w:pPr>
            <w:r>
              <w:rPr>
                <w:rFonts w:hint="eastAsia" w:ascii="Times New Roman" w:hAnsi="Times New Roman" w:eastAsia="宋体" w:cs="宋体"/>
                <w:color w:val="333333"/>
                <w:kern w:val="0"/>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restart"/>
            <w:tcBorders>
              <w:top w:val="nil"/>
              <w:left w:val="nil"/>
              <w:bottom w:val="outset" w:color="auto" w:sz="6"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（五）不予处理</w:t>
            </w:r>
          </w:p>
        </w:tc>
        <w:tc>
          <w:tcPr>
            <w:tcW w:w="1680" w:type="pct"/>
            <w:tcBorders>
              <w:top w:val="nil"/>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imes New Roman" w:hAnsi="Times New Roman" w:cstheme="minorEastAsia"/>
                <w:color w:val="333333"/>
                <w:kern w:val="0"/>
                <w:szCs w:val="21"/>
              </w:rPr>
              <w:t>1</w:t>
            </w:r>
            <w:r>
              <w:rPr>
                <w:rFonts w:hint="eastAsia" w:asciiTheme="minorEastAsia" w:hAnsiTheme="minorEastAsia" w:cstheme="minorEastAsia"/>
                <w:color w:val="333333"/>
                <w:kern w:val="0"/>
                <w:szCs w:val="21"/>
              </w:rPr>
              <w:t>.信访举报投诉类申请</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single" w:color="auto" w:sz="8" w:space="0"/>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imes New Roman" w:hAnsi="Times New Roman" w:cstheme="minorEastAsia"/>
                <w:color w:val="333333"/>
                <w:kern w:val="0"/>
                <w:szCs w:val="21"/>
              </w:rPr>
              <w:t>2</w:t>
            </w:r>
            <w:r>
              <w:rPr>
                <w:rFonts w:hint="eastAsia" w:asciiTheme="minorEastAsia" w:hAnsiTheme="minorEastAsia" w:cstheme="minorEastAsia"/>
                <w:color w:val="333333"/>
                <w:kern w:val="0"/>
                <w:szCs w:val="21"/>
              </w:rPr>
              <w:t>.重复申请</w:t>
            </w:r>
          </w:p>
        </w:tc>
        <w:tc>
          <w:tcPr>
            <w:tcW w:w="350"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hint="eastAsia" w:ascii="宋体" w:hAnsi="宋体" w:eastAsia="宋体" w:cs="宋体"/>
                <w:szCs w:val="21"/>
                <w:lang w:eastAsia="zh-CN"/>
              </w:rPr>
            </w:pPr>
            <w:r>
              <w:rPr>
                <w:rFonts w:hint="eastAsia" w:ascii="Times New Roman" w:hAnsi="Times New Roman" w:eastAsia="宋体" w:cs="宋体"/>
                <w:color w:val="333333"/>
                <w:kern w:val="0"/>
                <w:szCs w:val="21"/>
                <w:lang w:val="en-US" w:eastAsia="zh-CN"/>
              </w:rPr>
              <w:t>0</w:t>
            </w:r>
          </w:p>
        </w:tc>
        <w:tc>
          <w:tcPr>
            <w:tcW w:w="350"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hint="eastAsia" w:ascii="宋体" w:hAnsi="宋体" w:eastAsia="宋体" w:cs="宋体"/>
                <w:szCs w:val="21"/>
                <w:lang w:eastAsia="zh-CN"/>
              </w:rPr>
            </w:pPr>
            <w:r>
              <w:rPr>
                <w:rFonts w:hint="eastAsia" w:ascii="Times New Roman" w:hAnsi="Times New Roman" w:eastAsia="宋体" w:cs="宋体"/>
                <w:color w:val="333333"/>
                <w:kern w:val="0"/>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single" w:color="auto" w:sz="8" w:space="0"/>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imes New Roman" w:hAnsi="Times New Roman" w:cstheme="minorEastAsia"/>
                <w:color w:val="333333"/>
                <w:kern w:val="0"/>
                <w:szCs w:val="21"/>
              </w:rPr>
              <w:t>3</w:t>
            </w:r>
            <w:r>
              <w:rPr>
                <w:rFonts w:hint="eastAsia" w:asciiTheme="minorEastAsia" w:hAnsiTheme="minorEastAsia" w:cstheme="minorEastAsia"/>
                <w:color w:val="333333"/>
                <w:kern w:val="0"/>
                <w:szCs w:val="21"/>
              </w:rPr>
              <w:t>.要求提供公开出版物</w:t>
            </w:r>
          </w:p>
        </w:tc>
        <w:tc>
          <w:tcPr>
            <w:tcW w:w="350"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single" w:color="auto" w:sz="8" w:space="0"/>
              <w:left w:val="nil"/>
              <w:bottom w:val="single" w:color="auto" w:sz="8" w:space="0"/>
              <w:right w:val="single" w:color="auto" w:sz="8" w:space="0"/>
            </w:tcBorders>
            <w:shd w:val="clear" w:color="auto" w:fill="auto"/>
          </w:tcPr>
          <w:p>
            <w:pPr>
              <w:widowControl/>
              <w:spacing w:line="30" w:lineRule="atLeast"/>
              <w:jc w:val="left"/>
              <w:rPr>
                <w:rFonts w:asciiTheme="minorEastAsia" w:hAnsiTheme="minorEastAsia" w:cstheme="minorEastAsia"/>
                <w:szCs w:val="21"/>
              </w:rPr>
            </w:pPr>
            <w:r>
              <w:rPr>
                <w:rFonts w:hint="eastAsia" w:ascii="Times New Roman" w:hAnsi="Times New Roman" w:cstheme="minorEastAsia"/>
                <w:color w:val="333333"/>
                <w:kern w:val="0"/>
                <w:szCs w:val="21"/>
              </w:rPr>
              <w:t>4</w:t>
            </w:r>
            <w:r>
              <w:rPr>
                <w:rFonts w:hint="eastAsia" w:asciiTheme="minorEastAsia" w:hAnsiTheme="minorEastAsia" w:cstheme="minorEastAsia"/>
                <w:color w:val="333333"/>
                <w:kern w:val="0"/>
                <w:szCs w:val="21"/>
              </w:rPr>
              <w:t>.无正当理由大量反复申请</w:t>
            </w:r>
          </w:p>
        </w:tc>
        <w:tc>
          <w:tcPr>
            <w:tcW w:w="350"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single" w:color="auto" w:sz="8" w:space="0"/>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9" w:hRule="atLeast"/>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nil"/>
              <w:left w:val="nil"/>
              <w:bottom w:val="outset" w:color="auto" w:sz="6" w:space="0"/>
              <w:right w:val="single" w:color="auto" w:sz="8" w:space="0"/>
            </w:tcBorders>
            <w:shd w:val="clear" w:color="auto" w:fill="auto"/>
            <w:vAlign w:val="center"/>
          </w:tcPr>
          <w:p>
            <w:pPr>
              <w:widowControl/>
              <w:spacing w:line="30" w:lineRule="atLeast"/>
              <w:rPr>
                <w:rFonts w:asciiTheme="minorEastAsia" w:hAnsiTheme="minorEastAsia" w:cstheme="minorEastAsia"/>
                <w:szCs w:val="21"/>
              </w:rPr>
            </w:pPr>
            <w:r>
              <w:rPr>
                <w:rFonts w:hint="eastAsia" w:ascii="Times New Roman" w:hAnsi="Times New Roman" w:cstheme="minorEastAsia"/>
                <w:color w:val="333333"/>
                <w:kern w:val="0"/>
                <w:szCs w:val="21"/>
              </w:rPr>
              <w:t>5</w:t>
            </w:r>
            <w:r>
              <w:rPr>
                <w:rFonts w:hint="eastAsia" w:asciiTheme="minorEastAsia" w:hAnsiTheme="minorEastAsia" w:cstheme="minorEastAsia"/>
                <w:color w:val="333333"/>
                <w:kern w:val="0"/>
                <w:szCs w:val="21"/>
              </w:rPr>
              <w:t>.要求行政机关确认或重新出具已获取信息</w:t>
            </w:r>
          </w:p>
        </w:tc>
        <w:tc>
          <w:tcPr>
            <w:tcW w:w="350" w:type="pct"/>
            <w:tcBorders>
              <w:top w:val="nil"/>
              <w:left w:val="nil"/>
              <w:bottom w:val="outset" w:color="auto" w:sz="6"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outset" w:color="auto" w:sz="6"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outset" w:color="auto" w:sz="6"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outset" w:color="auto" w:sz="6"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nil"/>
              <w:left w:val="nil"/>
              <w:bottom w:val="outset" w:color="auto" w:sz="6"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nil"/>
              <w:left w:val="nil"/>
              <w:bottom w:val="outset" w:color="auto" w:sz="6"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nil"/>
              <w:left w:val="nil"/>
              <w:bottom w:val="outset" w:color="auto" w:sz="6"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restart"/>
            <w:tcBorders>
              <w:top w:val="outset" w:color="auto" w:sz="6" w:space="0"/>
              <w:left w:val="nil"/>
              <w:bottom w:val="outset" w:color="auto" w:sz="6"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（六）其他处理</w:t>
            </w:r>
          </w:p>
        </w:tc>
        <w:tc>
          <w:tcPr>
            <w:tcW w:w="1680" w:type="pct"/>
            <w:tcBorders>
              <w:top w:val="nil"/>
              <w:left w:val="nil"/>
              <w:bottom w:val="single" w:color="auto" w:sz="8" w:space="0"/>
              <w:right w:val="single" w:color="auto" w:sz="8" w:space="0"/>
            </w:tcBorders>
            <w:shd w:val="clear" w:color="auto" w:fill="auto"/>
            <w:vAlign w:val="center"/>
          </w:tcPr>
          <w:p>
            <w:pPr>
              <w:widowControl/>
              <w:spacing w:line="30" w:lineRule="atLeast"/>
              <w:rPr>
                <w:rFonts w:asciiTheme="minorEastAsia" w:hAnsiTheme="minorEastAsia" w:cstheme="minorEastAsia"/>
                <w:szCs w:val="21"/>
              </w:rPr>
            </w:pPr>
            <w:r>
              <w:rPr>
                <w:rFonts w:hint="eastAsia" w:ascii="Times New Roman" w:hAnsi="Times New Roman" w:cstheme="minorEastAsia"/>
                <w:color w:val="333333"/>
                <w:kern w:val="0"/>
                <w:szCs w:val="21"/>
              </w:rPr>
              <w:t>1</w:t>
            </w:r>
            <w:r>
              <w:rPr>
                <w:rFonts w:hint="eastAsia" w:asciiTheme="minorEastAsia" w:hAnsiTheme="minorEastAsia" w:cstheme="minorEastAsia"/>
                <w:color w:val="333333"/>
                <w:kern w:val="0"/>
                <w:szCs w:val="21"/>
              </w:rPr>
              <w:t>.申请人无正当理由逾期不补正、行政机关不再处理其政府信息公开申请</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nil"/>
              <w:left w:val="nil"/>
              <w:bottom w:val="single" w:color="auto" w:sz="8" w:space="0"/>
              <w:right w:val="single" w:color="auto" w:sz="8" w:space="0"/>
            </w:tcBorders>
            <w:shd w:val="clear" w:color="auto" w:fill="auto"/>
            <w:vAlign w:val="center"/>
          </w:tcPr>
          <w:p>
            <w:pPr>
              <w:widowControl/>
              <w:spacing w:line="30" w:lineRule="atLeast"/>
              <w:rPr>
                <w:rFonts w:asciiTheme="minorEastAsia" w:hAnsiTheme="minorEastAsia" w:cstheme="minorEastAsia"/>
                <w:szCs w:val="21"/>
              </w:rPr>
            </w:pPr>
            <w:r>
              <w:rPr>
                <w:rFonts w:hint="eastAsia" w:ascii="Times New Roman" w:hAnsi="Times New Roman" w:cstheme="minorEastAsia"/>
                <w:color w:val="333333"/>
                <w:kern w:val="0"/>
                <w:szCs w:val="21"/>
              </w:rPr>
              <w:t>2</w:t>
            </w:r>
            <w:r>
              <w:rPr>
                <w:rFonts w:hint="eastAsia" w:asciiTheme="minorEastAsia" w:hAnsiTheme="minorEastAsia" w:cstheme="minorEastAsia"/>
                <w:color w:val="333333"/>
                <w:kern w:val="0"/>
                <w:szCs w:val="21"/>
              </w:rPr>
              <w:t>.申请人逾期未按收费通知要求缴纳费用、行政机关不再处理其政府信息公开申请</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471"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1680" w:type="pct"/>
            <w:tcBorders>
              <w:top w:val="nil"/>
              <w:left w:val="nil"/>
              <w:bottom w:val="single" w:color="auto" w:sz="8"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imes New Roman" w:hAnsi="Times New Roman" w:cstheme="minorEastAsia"/>
                <w:color w:val="333333"/>
                <w:kern w:val="0"/>
                <w:szCs w:val="21"/>
              </w:rPr>
              <w:t>3</w:t>
            </w:r>
            <w:r>
              <w:rPr>
                <w:rFonts w:hint="eastAsia" w:asciiTheme="minorEastAsia" w:hAnsiTheme="minorEastAsia" w:cstheme="minorEastAsia"/>
                <w:color w:val="333333"/>
                <w:kern w:val="0"/>
                <w:szCs w:val="21"/>
              </w:rPr>
              <w:t>.其他</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nil"/>
              <w:left w:val="nil"/>
              <w:bottom w:val="single" w:color="auto" w:sz="8" w:space="0"/>
              <w:right w:val="single" w:color="auto" w:sz="8" w:space="0"/>
            </w:tcBorders>
            <w:shd w:val="clear" w:color="auto" w:fill="auto"/>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asciiTheme="minorEastAsia" w:hAnsiTheme="minorEastAsia" w:cstheme="minorEastAsia"/>
                <w:color w:val="333333"/>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（七）总计</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hint="default" w:ascii="宋体" w:hAnsi="宋体" w:eastAsia="宋体" w:cs="宋体"/>
                <w:szCs w:val="21"/>
                <w:lang w:val="en-US" w:eastAsia="zh-CN"/>
              </w:rPr>
            </w:pPr>
            <w:r>
              <w:rPr>
                <w:rFonts w:hint="eastAsia" w:ascii="Times New Roman" w:hAnsi="Times New Roman" w:eastAsia="宋体" w:cs="宋体"/>
                <w:color w:val="333333"/>
                <w:kern w:val="0"/>
                <w:szCs w:val="21"/>
                <w:lang w:val="en-US" w:eastAsia="zh-CN"/>
              </w:rPr>
              <w:t>36</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hint="eastAsia" w:ascii="宋体" w:hAnsi="宋体" w:eastAsia="宋体" w:cs="宋体"/>
                <w:szCs w:val="21"/>
                <w:lang w:eastAsia="zh-CN"/>
              </w:rPr>
            </w:pPr>
            <w:r>
              <w:rPr>
                <w:rFonts w:hint="eastAsia" w:ascii="Times New Roman" w:hAnsi="Times New Roman" w:eastAsia="宋体" w:cs="宋体"/>
                <w:color w:val="333333"/>
                <w:kern w:val="0"/>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nil"/>
              <w:left w:val="nil"/>
              <w:bottom w:val="single" w:color="auto" w:sz="8" w:space="0"/>
              <w:right w:val="single" w:color="auto" w:sz="8" w:space="0"/>
            </w:tcBorders>
            <w:shd w:val="clear" w:color="auto" w:fill="auto"/>
          </w:tcPr>
          <w:p>
            <w:pPr>
              <w:widowControl/>
              <w:spacing w:line="30" w:lineRule="atLeast"/>
              <w:jc w:val="center"/>
              <w:rPr>
                <w:rFonts w:hint="default" w:ascii="宋体" w:hAnsi="宋体" w:eastAsia="宋体" w:cs="宋体"/>
                <w:szCs w:val="21"/>
                <w:lang w:val="en-US" w:eastAsia="zh-CN"/>
              </w:rPr>
            </w:pPr>
            <w:r>
              <w:rPr>
                <w:rFonts w:hint="eastAsia" w:ascii="Times New Roman" w:hAnsi="Times New Roman" w:eastAsia="宋体" w:cs="宋体"/>
                <w:color w:val="333333"/>
                <w:kern w:val="0"/>
                <w:szCs w:val="21"/>
                <w:lang w:val="en-US" w:eastAsia="zh-CN"/>
              </w:rPr>
              <w:t>36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8" w:type="pct"/>
            <w:gridSpan w:val="3"/>
            <w:tcBorders>
              <w:top w:val="nil"/>
              <w:left w:val="single" w:color="auto" w:sz="8" w:space="0"/>
              <w:bottom w:val="single" w:color="auto" w:sz="8" w:space="0"/>
              <w:right w:val="single" w:color="auto" w:sz="8" w:space="0"/>
            </w:tcBorders>
            <w:shd w:val="clear" w:color="auto" w:fill="auto"/>
            <w:vAlign w:val="center"/>
          </w:tcPr>
          <w:p>
            <w:pPr>
              <w:widowControl/>
              <w:spacing w:line="30" w:lineRule="atLeast"/>
              <w:jc w:val="left"/>
              <w:rPr>
                <w:rFonts w:asciiTheme="minorEastAsia" w:hAnsiTheme="minorEastAsia" w:cstheme="minorEastAsia"/>
                <w:szCs w:val="21"/>
              </w:rPr>
            </w:pPr>
            <w:r>
              <w:rPr>
                <w:rFonts w:hint="eastAsia" w:asciiTheme="minorEastAsia" w:hAnsiTheme="minorEastAsia" w:cstheme="minorEastAsia"/>
                <w:color w:val="333333"/>
                <w:kern w:val="0"/>
                <w:szCs w:val="21"/>
              </w:rPr>
              <w:t>四、结转下年度继续办理</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0"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1"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4" w:type="pct"/>
            <w:tcBorders>
              <w:top w:val="nil"/>
              <w:left w:val="nil"/>
              <w:bottom w:val="single" w:color="auto" w:sz="8" w:space="0"/>
              <w:right w:val="single" w:color="auto" w:sz="8" w:space="0"/>
            </w:tcBorders>
            <w:shd w:val="clear" w:color="auto" w:fill="auto"/>
            <w:vAlign w:val="center"/>
          </w:tcPr>
          <w:p>
            <w:pPr>
              <w:widowControl/>
              <w:spacing w:line="30" w:lineRule="atLeast"/>
              <w:jc w:val="center"/>
              <w:rPr>
                <w:rFonts w:ascii="宋体" w:hAnsi="宋体" w:eastAsia="宋体" w:cs="宋体"/>
                <w:szCs w:val="21"/>
              </w:rPr>
            </w:pPr>
            <w:r>
              <w:rPr>
                <w:rFonts w:hint="eastAsia" w:ascii="Times New Roman" w:hAnsi="Times New Roman" w:eastAsia="宋体" w:cs="宋体"/>
                <w:color w:val="333333"/>
                <w:kern w:val="0"/>
                <w:szCs w:val="21"/>
              </w:rPr>
              <w:t>0</w:t>
            </w:r>
          </w:p>
        </w:tc>
        <w:tc>
          <w:tcPr>
            <w:tcW w:w="352" w:type="pct"/>
            <w:tcBorders>
              <w:top w:val="nil"/>
              <w:left w:val="nil"/>
              <w:bottom w:val="single" w:color="auto" w:sz="8" w:space="0"/>
              <w:right w:val="single" w:color="auto" w:sz="8" w:space="0"/>
            </w:tcBorders>
            <w:shd w:val="clear" w:color="auto" w:fill="auto"/>
          </w:tcPr>
          <w:p>
            <w:pPr>
              <w:jc w:val="center"/>
              <w:rPr>
                <w:rFonts w:ascii="宋体" w:hAnsi="宋体" w:eastAsia="宋体" w:cs="宋体"/>
                <w:color w:val="333333"/>
                <w:szCs w:val="21"/>
              </w:rPr>
            </w:pPr>
            <w:r>
              <w:rPr>
                <w:rFonts w:hint="eastAsia" w:ascii="Times New Roman" w:hAnsi="Times New Roman" w:eastAsia="宋体" w:cs="宋体"/>
                <w:color w:val="333333"/>
                <w:szCs w:val="21"/>
              </w:rPr>
              <w:t>0</w:t>
            </w:r>
          </w:p>
        </w:tc>
      </w:tr>
    </w:tbl>
    <w:p>
      <w:pPr>
        <w:widowControl/>
        <w:spacing w:line="432" w:lineRule="auto"/>
        <w:jc w:val="both"/>
        <w:rPr>
          <w:rFonts w:ascii="宋体" w:hAnsi="宋体" w:eastAsia="宋体" w:cs="宋体"/>
          <w:color w:val="333333"/>
          <w:sz w:val="24"/>
        </w:rPr>
      </w:pPr>
    </w:p>
    <w:p>
      <w:pPr>
        <w:pStyle w:val="4"/>
        <w:widowControl/>
        <w:spacing w:line="360" w:lineRule="auto"/>
        <w:ind w:firstLine="640" w:firstLineChars="200"/>
        <w:jc w:val="both"/>
        <w:rPr>
          <w:rFonts w:hint="default" w:ascii="Times New Roman" w:hAnsi="Times New Roman" w:eastAsia="黑体" w:cs="Times New Roman"/>
          <w:color w:val="333333"/>
          <w:sz w:val="32"/>
          <w:szCs w:val="32"/>
        </w:rPr>
      </w:pPr>
      <w:r>
        <w:rPr>
          <w:rFonts w:hint="default" w:ascii="Times New Roman" w:hAnsi="Times New Roman" w:eastAsia="黑体" w:cs="Times New Roman"/>
          <w:color w:val="333333"/>
          <w:sz w:val="32"/>
          <w:szCs w:val="32"/>
        </w:rPr>
        <w:t>四、政府信息公开行政复议、行政诉讼情况</w:t>
      </w:r>
    </w:p>
    <w:p>
      <w:pPr>
        <w:pStyle w:val="4"/>
        <w:widowControl/>
        <w:spacing w:line="360" w:lineRule="auto"/>
        <w:ind w:firstLine="640" w:firstLineChars="200"/>
        <w:jc w:val="both"/>
        <w:rPr>
          <w:rFonts w:hint="default" w:ascii="Times New Roman" w:hAnsi="Times New Roman" w:eastAsia="仿宋" w:cs="Times New Roman"/>
          <w:sz w:val="32"/>
          <w:szCs w:val="32"/>
        </w:rPr>
      </w:pPr>
      <w:r>
        <w:rPr>
          <w:rFonts w:hint="default" w:ascii="Times New Roman" w:hAnsi="Times New Roman" w:eastAsia="仿宋_GB2312" w:cs="Times New Roman"/>
          <w:color w:val="424242"/>
          <w:sz w:val="32"/>
          <w:szCs w:val="32"/>
          <w:shd w:val="clear" w:color="auto" w:fill="FFFFFF"/>
        </w:rPr>
        <w:t>全年因政府信息公开引起的行政复议共</w:t>
      </w:r>
      <w:r>
        <w:rPr>
          <w:rFonts w:hint="eastAsia" w:ascii="Times New Roman" w:hAnsi="Times New Roman" w:eastAsia="仿宋_GB2312" w:cs="Times New Roman"/>
          <w:color w:val="424242"/>
          <w:sz w:val="32"/>
          <w:szCs w:val="32"/>
          <w:highlight w:val="none"/>
          <w:shd w:val="clear" w:color="auto" w:fill="FFFFFF"/>
          <w:lang w:val="en-US" w:eastAsia="zh-CN"/>
        </w:rPr>
        <w:t>0</w:t>
      </w:r>
      <w:r>
        <w:rPr>
          <w:rFonts w:hint="default" w:ascii="Times New Roman" w:hAnsi="Times New Roman" w:eastAsia="仿宋_GB2312" w:cs="Times New Roman"/>
          <w:color w:val="424242"/>
          <w:sz w:val="32"/>
          <w:szCs w:val="32"/>
          <w:shd w:val="clear" w:color="auto" w:fill="FFFFFF"/>
        </w:rPr>
        <w:t>件。因政府信息公开引起的行政诉讼</w:t>
      </w:r>
      <w:r>
        <w:rPr>
          <w:rFonts w:hint="default" w:ascii="Times New Roman" w:hAnsi="Times New Roman" w:eastAsia="仿宋_GB2312" w:cs="Times New Roman"/>
          <w:color w:val="424242"/>
          <w:sz w:val="32"/>
          <w:szCs w:val="32"/>
          <w:shd w:val="clear" w:color="auto" w:fill="FFFFFF"/>
          <w:lang w:eastAsia="zh-CN"/>
        </w:rPr>
        <w:t>共</w:t>
      </w:r>
      <w:r>
        <w:rPr>
          <w:rFonts w:hint="eastAsia" w:ascii="Times New Roman" w:hAnsi="Times New Roman" w:eastAsia="仿宋_GB2312" w:cs="Times New Roman"/>
          <w:color w:val="424242"/>
          <w:sz w:val="32"/>
          <w:szCs w:val="32"/>
          <w:highlight w:val="none"/>
          <w:shd w:val="clear" w:color="auto" w:fill="FFFFFF"/>
          <w:lang w:val="en-US" w:eastAsia="zh-CN"/>
        </w:rPr>
        <w:t>0</w:t>
      </w:r>
      <w:r>
        <w:rPr>
          <w:rFonts w:hint="default" w:ascii="Times New Roman" w:hAnsi="Times New Roman" w:eastAsia="仿宋_GB2312" w:cs="Times New Roman"/>
          <w:color w:val="424242"/>
          <w:sz w:val="32"/>
          <w:szCs w:val="32"/>
          <w:shd w:val="clear" w:color="auto" w:fill="FFFFFF"/>
          <w:lang w:val="en-US" w:eastAsia="zh-CN"/>
        </w:rPr>
        <w:t>件</w:t>
      </w:r>
      <w:r>
        <w:rPr>
          <w:rFonts w:hint="default" w:ascii="Times New Roman" w:hAnsi="Times New Roman" w:eastAsia="仿宋_GB2312" w:cs="Times New Roman"/>
          <w:color w:val="424242"/>
          <w:sz w:val="32"/>
          <w:szCs w:val="32"/>
          <w:shd w:val="clear" w:color="auto" w:fill="FFFFFF"/>
        </w:rPr>
        <w:t>。</w:t>
      </w:r>
    </w:p>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602"/>
        <w:gridCol w:w="602"/>
        <w:gridCol w:w="602"/>
        <w:gridCol w:w="611"/>
        <w:gridCol w:w="602"/>
        <w:gridCol w:w="602"/>
        <w:gridCol w:w="603"/>
        <w:gridCol w:w="603"/>
        <w:gridCol w:w="609"/>
        <w:gridCol w:w="603"/>
        <w:gridCol w:w="603"/>
        <w:gridCol w:w="603"/>
        <w:gridCol w:w="603"/>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333333"/>
                <w:kern w:val="0"/>
                <w:sz w:val="20"/>
                <w:szCs w:val="20"/>
              </w:rPr>
              <w:t>行政复议</w:t>
            </w:r>
          </w:p>
        </w:tc>
        <w:tc>
          <w:tcPr>
            <w:tcW w:w="3334"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333333"/>
                <w:kern w:val="0"/>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333333"/>
                <w:kern w:val="0"/>
                <w:sz w:val="20"/>
                <w:szCs w:val="20"/>
              </w:rPr>
              <w:t>结果维持</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333333"/>
                <w:kern w:val="0"/>
                <w:sz w:val="20"/>
                <w:szCs w:val="20"/>
              </w:rPr>
              <w:t>结果</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纠正</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333333"/>
                <w:kern w:val="0"/>
                <w:sz w:val="20"/>
                <w:szCs w:val="20"/>
              </w:rPr>
              <w:t>其他</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结果</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333333"/>
                <w:kern w:val="0"/>
                <w:sz w:val="20"/>
                <w:szCs w:val="20"/>
              </w:rPr>
              <w:t>尚未</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审结</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333333"/>
                <w:kern w:val="0"/>
                <w:sz w:val="20"/>
                <w:szCs w:val="20"/>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333333"/>
                <w:kern w:val="0"/>
                <w:sz w:val="20"/>
                <w:szCs w:val="20"/>
              </w:rPr>
              <w:t>未经复议直接起诉</w:t>
            </w:r>
          </w:p>
        </w:tc>
        <w:tc>
          <w:tcPr>
            <w:tcW w:w="166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333333"/>
                <w:kern w:val="0"/>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333333"/>
                <w:szCs w:val="21"/>
              </w:rPr>
            </w:pPr>
          </w:p>
        </w:tc>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333333"/>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333333"/>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333333"/>
                <w:szCs w:val="21"/>
              </w:rPr>
            </w:pPr>
          </w:p>
        </w:tc>
        <w:tc>
          <w:tcPr>
            <w:tcW w:w="3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333333"/>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333333"/>
                <w:kern w:val="0"/>
                <w:sz w:val="20"/>
                <w:szCs w:val="20"/>
              </w:rPr>
              <w:t>结果</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333333"/>
                <w:kern w:val="0"/>
                <w:sz w:val="20"/>
                <w:szCs w:val="20"/>
              </w:rPr>
              <w:t>结果</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333333"/>
                <w:kern w:val="0"/>
                <w:sz w:val="20"/>
                <w:szCs w:val="20"/>
              </w:rPr>
              <w:t>其他</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333333"/>
                <w:kern w:val="0"/>
                <w:sz w:val="20"/>
                <w:szCs w:val="20"/>
              </w:rPr>
              <w:t>尚未</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审结</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000000"/>
                <w:kern w:val="0"/>
                <w:sz w:val="20"/>
                <w:szCs w:val="20"/>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333333"/>
                <w:kern w:val="0"/>
                <w:sz w:val="20"/>
                <w:szCs w:val="20"/>
              </w:rPr>
              <w:t>结果</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333333"/>
                <w:kern w:val="0"/>
                <w:sz w:val="20"/>
                <w:szCs w:val="20"/>
              </w:rPr>
              <w:t>结果</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333333"/>
                <w:kern w:val="0"/>
                <w:sz w:val="20"/>
                <w:szCs w:val="20"/>
              </w:rPr>
              <w:t>尚未</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审结</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宋体" w:hAnsi="宋体" w:eastAsia="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rPr>
                <w:rFonts w:hint="eastAsia" w:eastAsiaTheme="minorEastAsia"/>
                <w:lang w:val="en-US" w:eastAsia="zh-CN"/>
              </w:rPr>
            </w:pPr>
            <w:r>
              <w:rPr>
                <w:rFonts w:hint="eastAsia" w:ascii="Times New Roman" w:hAnsi="Times New Roman"/>
                <w:lang w:val="en-US" w:eastAsia="zh-CN"/>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Times New Roman" w:hAnsi="Times New Roman" w:eastAsia="黑体" w:cs="黑体"/>
                <w:color w:val="333333"/>
                <w:sz w:val="20"/>
                <w:szCs w:val="20"/>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Times New Roman" w:hAnsi="Times New Roman" w:eastAsia="黑体" w:cs="黑体"/>
                <w:color w:val="333333"/>
                <w:sz w:val="20"/>
                <w:szCs w:val="20"/>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Times New Roman" w:hAnsi="Times New Roman" w:eastAsia="黑体" w:cs="黑体"/>
                <w:color w:val="333333"/>
                <w:sz w:val="20"/>
                <w:szCs w:val="20"/>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rPr>
                <w:rFonts w:hint="eastAsia" w:eastAsiaTheme="minorEastAsia"/>
                <w:lang w:val="en-US" w:eastAsia="zh-CN"/>
              </w:rPr>
            </w:pPr>
            <w:r>
              <w:rPr>
                <w:rFonts w:hint="eastAsia" w:ascii="Times New Roman" w:hAnsi="Times New Roman"/>
                <w:lang w:val="en-US" w:eastAsia="zh-CN"/>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Times New Roman" w:hAnsi="Times New Roman" w:eastAsia="黑体" w:cs="黑体"/>
                <w:color w:val="333333"/>
                <w:sz w:val="20"/>
                <w:szCs w:val="20"/>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Times New Roman" w:hAnsi="Times New Roman" w:eastAsia="黑体" w:cs="黑体"/>
                <w:color w:val="333333"/>
                <w:sz w:val="20"/>
                <w:szCs w:val="20"/>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Times New Roman" w:hAnsi="Times New Roman" w:eastAsia="黑体" w:cs="黑体"/>
                <w:color w:val="333333"/>
                <w:sz w:val="20"/>
                <w:szCs w:val="20"/>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Times New Roman" w:hAnsi="Times New Roman" w:eastAsia="黑体" w:cs="黑体"/>
                <w:color w:val="333333"/>
                <w:sz w:val="20"/>
                <w:szCs w:val="20"/>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Times New Roman" w:hAnsi="Times New Roman" w:eastAsia="黑体" w:cs="黑体"/>
                <w:color w:val="333333"/>
                <w:sz w:val="20"/>
                <w:szCs w:val="20"/>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rPr>
                <w:rFonts w:hint="eastAsia" w:eastAsiaTheme="minorEastAsia"/>
                <w:lang w:val="en-US" w:eastAsia="zh-CN"/>
              </w:rPr>
            </w:pPr>
            <w:r>
              <w:rPr>
                <w:rFonts w:hint="eastAsia" w:ascii="Times New Roman" w:hAnsi="Times New Roman"/>
                <w:lang w:val="en-US" w:eastAsia="zh-CN"/>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Times New Roman" w:hAnsi="Times New Roman" w:eastAsia="黑体" w:cs="黑体"/>
                <w:color w:val="333333"/>
                <w:sz w:val="20"/>
                <w:szCs w:val="20"/>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Times New Roman" w:hAnsi="Times New Roman" w:eastAsia="黑体" w:cs="黑体"/>
                <w:color w:val="333333"/>
                <w:sz w:val="20"/>
                <w:szCs w:val="20"/>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jc w:val="center"/>
            </w:pPr>
            <w:r>
              <w:rPr>
                <w:rFonts w:hint="eastAsia" w:ascii="Times New Roman" w:hAnsi="Times New Roman" w:eastAsia="黑体" w:cs="黑体"/>
                <w:color w:val="333333"/>
                <w:sz w:val="20"/>
                <w:szCs w:val="20"/>
              </w:rPr>
              <w:t>0</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Cs w:val="21"/>
                <w:lang w:val="en-US" w:eastAsia="zh-CN"/>
              </w:rPr>
            </w:pPr>
            <w:r>
              <w:rPr>
                <w:rFonts w:hint="eastAsia" w:ascii="Times New Roman" w:hAnsi="Times New Roman" w:eastAsia="宋体" w:cs="宋体"/>
                <w:color w:val="333333"/>
                <w:szCs w:val="21"/>
                <w:lang w:val="en-US" w:eastAsia="zh-CN"/>
              </w:rPr>
              <w:t>0</w:t>
            </w:r>
          </w:p>
        </w:tc>
      </w:tr>
    </w:tbl>
    <w:p>
      <w:pPr>
        <w:widowControl/>
        <w:jc w:val="left"/>
      </w:pPr>
    </w:p>
    <w:p>
      <w:pPr>
        <w:pStyle w:val="4"/>
        <w:widowControl/>
        <w:spacing w:line="560" w:lineRule="exact"/>
        <w:ind w:firstLine="640" w:firstLineChars="200"/>
        <w:jc w:val="both"/>
        <w:rPr>
          <w:rFonts w:hint="default" w:ascii="Times New Roman" w:hAnsi="Times New Roman" w:eastAsia="黑体" w:cs="Times New Roman"/>
          <w:color w:val="333333"/>
          <w:sz w:val="32"/>
          <w:szCs w:val="32"/>
        </w:rPr>
      </w:pPr>
      <w:r>
        <w:rPr>
          <w:rFonts w:hint="default" w:ascii="Times New Roman" w:hAnsi="Times New Roman" w:eastAsia="黑体" w:cs="Times New Roman"/>
          <w:color w:val="333333"/>
          <w:sz w:val="32"/>
          <w:szCs w:val="32"/>
        </w:rPr>
        <w:t>五、存在的主要问题及改进情况</w:t>
      </w:r>
    </w:p>
    <w:p>
      <w:pPr>
        <w:pStyle w:val="4"/>
        <w:widowControl/>
        <w:shd w:val="clear" w:color="auto" w:fill="FFFFFF"/>
        <w:spacing w:line="560" w:lineRule="exact"/>
        <w:ind w:firstLine="640" w:firstLineChars="200"/>
        <w:jc w:val="both"/>
        <w:rPr>
          <w:rFonts w:hint="default" w:ascii="Times New Roman" w:hAnsi="Times New Roman" w:eastAsia="仿宋_GB2312" w:cs="Times New Roman"/>
          <w:color w:val="424242"/>
          <w:sz w:val="32"/>
          <w:szCs w:val="32"/>
          <w:shd w:val="clear" w:color="auto" w:fill="FFFFFF"/>
        </w:rPr>
      </w:pPr>
      <w:r>
        <w:rPr>
          <w:rFonts w:hint="default" w:ascii="Times New Roman" w:hAnsi="Times New Roman" w:eastAsia="仿宋_GB2312" w:cs="Times New Roman"/>
          <w:color w:val="424242"/>
          <w:sz w:val="32"/>
          <w:szCs w:val="32"/>
          <w:shd w:val="clear" w:color="auto" w:fill="FFFFFF"/>
        </w:rPr>
        <w:t>在</w:t>
      </w:r>
      <w:r>
        <w:rPr>
          <w:rFonts w:hint="default" w:ascii="Times New Roman" w:hAnsi="Times New Roman" w:eastAsia="仿宋_GB2312" w:cs="Times New Roman"/>
          <w:color w:val="424242"/>
          <w:sz w:val="32"/>
          <w:szCs w:val="32"/>
          <w:shd w:val="clear" w:color="auto" w:fill="FFFFFF"/>
          <w:lang w:eastAsia="zh-CN"/>
        </w:rPr>
        <w:t>2023</w:t>
      </w:r>
      <w:r>
        <w:rPr>
          <w:rFonts w:hint="default" w:ascii="Times New Roman" w:hAnsi="Times New Roman" w:eastAsia="仿宋_GB2312" w:cs="Times New Roman"/>
          <w:color w:val="424242"/>
          <w:sz w:val="32"/>
          <w:szCs w:val="32"/>
          <w:shd w:val="clear" w:color="auto" w:fill="FFFFFF"/>
        </w:rPr>
        <w:t>年度中我局一改上一年度工作中的不足，做到了政府信息的及时更新发布，特别是国有土地上房屋征收与补偿专栏的政府信息，做到了第一时间网上发布，保证了与项目现场的公告步调一致。</w:t>
      </w:r>
    </w:p>
    <w:p>
      <w:pPr>
        <w:pStyle w:val="4"/>
        <w:widowControl/>
        <w:shd w:val="clear" w:color="auto" w:fill="FFFFFF"/>
        <w:spacing w:line="560" w:lineRule="exact"/>
        <w:ind w:firstLine="420"/>
        <w:jc w:val="both"/>
        <w:rPr>
          <w:rFonts w:hint="default" w:ascii="Times New Roman" w:hAnsi="Times New Roman" w:eastAsia="楷体" w:cs="Times New Roman"/>
          <w:color w:val="333333"/>
          <w:sz w:val="32"/>
          <w:szCs w:val="32"/>
        </w:rPr>
      </w:pPr>
      <w:r>
        <w:rPr>
          <w:rFonts w:hint="default" w:ascii="Times New Roman" w:hAnsi="Times New Roman" w:eastAsia="楷体" w:cs="Times New Roman"/>
          <w:color w:val="333333"/>
          <w:sz w:val="32"/>
          <w:szCs w:val="32"/>
          <w:shd w:val="clear" w:color="auto" w:fill="FFFFFF"/>
        </w:rPr>
        <w:t>（一）存在的问题</w:t>
      </w:r>
    </w:p>
    <w:p>
      <w:pPr>
        <w:pStyle w:val="4"/>
        <w:widowControl/>
        <w:shd w:val="clear" w:color="auto" w:fill="FFFFFF"/>
        <w:spacing w:line="560" w:lineRule="exact"/>
        <w:ind w:firstLine="640" w:firstLineChars="200"/>
        <w:jc w:val="both"/>
        <w:rPr>
          <w:rFonts w:hint="default" w:ascii="Times New Roman" w:hAnsi="Times New Roman" w:eastAsia="仿宋_GB2312" w:cs="Times New Roman"/>
          <w:color w:val="424242"/>
          <w:sz w:val="32"/>
          <w:szCs w:val="32"/>
          <w:shd w:val="clear" w:color="auto" w:fill="FFFFFF"/>
        </w:rPr>
      </w:pPr>
      <w:r>
        <w:rPr>
          <w:rFonts w:hint="default" w:ascii="Times New Roman" w:hAnsi="Times New Roman" w:eastAsia="仿宋_GB2312" w:cs="Times New Roman"/>
          <w:color w:val="424242"/>
          <w:sz w:val="32"/>
          <w:szCs w:val="32"/>
          <w:shd w:val="clear" w:color="auto" w:fill="FFFFFF"/>
          <w:lang w:eastAsia="zh-CN"/>
        </w:rPr>
        <w:t>2023</w:t>
      </w:r>
      <w:r>
        <w:rPr>
          <w:rFonts w:hint="default" w:ascii="Times New Roman" w:hAnsi="Times New Roman" w:eastAsia="仿宋_GB2312" w:cs="Times New Roman"/>
          <w:color w:val="424242"/>
          <w:sz w:val="32"/>
          <w:szCs w:val="32"/>
          <w:shd w:val="clear" w:color="auto" w:fill="FFFFFF"/>
        </w:rPr>
        <w:t>年度中存在的问题</w:t>
      </w:r>
      <w:r>
        <w:rPr>
          <w:rFonts w:hint="default" w:ascii="Times New Roman" w:hAnsi="Times New Roman" w:eastAsia="仿宋_GB2312" w:cs="Times New Roman"/>
          <w:b/>
          <w:bCs/>
          <w:color w:val="424242"/>
          <w:sz w:val="32"/>
          <w:szCs w:val="32"/>
          <w:shd w:val="clear" w:color="auto" w:fill="FFFFFF"/>
        </w:rPr>
        <w:t>一是</w:t>
      </w:r>
      <w:r>
        <w:rPr>
          <w:rFonts w:hint="default" w:ascii="Times New Roman" w:hAnsi="Times New Roman" w:eastAsia="仿宋_GB2312" w:cs="Times New Roman"/>
          <w:color w:val="424242"/>
          <w:sz w:val="32"/>
          <w:szCs w:val="32"/>
          <w:shd w:val="clear" w:color="auto" w:fill="FFFFFF"/>
        </w:rPr>
        <w:t>政府信息公开的方式简单，公开渠道不宽，与群众的期盼还有一定差距。</w:t>
      </w:r>
      <w:r>
        <w:rPr>
          <w:rFonts w:hint="default" w:ascii="Times New Roman" w:hAnsi="Times New Roman" w:eastAsia="仿宋_GB2312" w:cs="Times New Roman"/>
          <w:b/>
          <w:bCs/>
          <w:color w:val="424242"/>
          <w:sz w:val="32"/>
          <w:szCs w:val="32"/>
          <w:shd w:val="clear" w:color="auto" w:fill="FFFFFF"/>
        </w:rPr>
        <w:t>二是</w:t>
      </w:r>
      <w:r>
        <w:rPr>
          <w:rFonts w:hint="default" w:ascii="Times New Roman" w:hAnsi="Times New Roman" w:eastAsia="仿宋_GB2312" w:cs="Times New Roman"/>
          <w:color w:val="424242"/>
          <w:sz w:val="32"/>
          <w:szCs w:val="32"/>
          <w:shd w:val="clear" w:color="auto" w:fill="FFFFFF"/>
        </w:rPr>
        <w:t>依申请公开政府信息的社会知晓度还不高。</w:t>
      </w:r>
      <w:r>
        <w:rPr>
          <w:rFonts w:hint="default" w:ascii="Times New Roman" w:hAnsi="Times New Roman" w:eastAsia="仿宋_GB2312" w:cs="Times New Roman"/>
          <w:b/>
          <w:bCs/>
          <w:color w:val="424242"/>
          <w:sz w:val="32"/>
          <w:szCs w:val="32"/>
          <w:shd w:val="clear" w:color="auto" w:fill="FFFFFF"/>
        </w:rPr>
        <w:t>三是</w:t>
      </w:r>
      <w:r>
        <w:rPr>
          <w:rFonts w:hint="default" w:ascii="Times New Roman" w:hAnsi="Times New Roman" w:eastAsia="仿宋_GB2312" w:cs="Times New Roman"/>
          <w:color w:val="424242"/>
          <w:sz w:val="32"/>
          <w:szCs w:val="32"/>
          <w:shd w:val="clear" w:color="auto" w:fill="FFFFFF"/>
        </w:rPr>
        <w:t>宣传手段还不够丰富。</w:t>
      </w:r>
    </w:p>
    <w:p>
      <w:pPr>
        <w:pStyle w:val="4"/>
        <w:widowControl/>
        <w:shd w:val="clear" w:color="auto" w:fill="FFFFFF"/>
        <w:spacing w:line="560" w:lineRule="exact"/>
        <w:ind w:firstLine="480" w:firstLineChars="150"/>
        <w:jc w:val="both"/>
        <w:rPr>
          <w:rFonts w:hint="default" w:ascii="Times New Roman" w:hAnsi="Times New Roman" w:eastAsia="楷体" w:cs="Times New Roman"/>
          <w:color w:val="424242"/>
          <w:sz w:val="32"/>
          <w:szCs w:val="32"/>
          <w:shd w:val="clear" w:color="auto" w:fill="FFFFFF"/>
        </w:rPr>
      </w:pPr>
      <w:r>
        <w:rPr>
          <w:rFonts w:hint="default" w:ascii="Times New Roman" w:hAnsi="Times New Roman" w:eastAsia="楷体" w:cs="Times New Roman"/>
          <w:color w:val="424242"/>
          <w:sz w:val="32"/>
          <w:szCs w:val="32"/>
          <w:shd w:val="clear" w:color="auto" w:fill="FFFFFF"/>
        </w:rPr>
        <w:t>（二）下一步打算</w:t>
      </w:r>
    </w:p>
    <w:p>
      <w:pPr>
        <w:pStyle w:val="4"/>
        <w:widowControl/>
        <w:shd w:val="clear" w:color="auto" w:fill="FFFFFF"/>
        <w:spacing w:line="560" w:lineRule="exact"/>
        <w:ind w:firstLine="643" w:firstLineChars="200"/>
        <w:jc w:val="both"/>
        <w:rPr>
          <w:rFonts w:hint="default" w:ascii="Times New Roman" w:hAnsi="Times New Roman" w:eastAsia="仿宋_GB2312" w:cs="Times New Roman"/>
          <w:color w:val="424242"/>
          <w:sz w:val="32"/>
          <w:szCs w:val="32"/>
          <w:shd w:val="clear" w:color="auto" w:fill="FFFFFF"/>
        </w:rPr>
      </w:pPr>
      <w:r>
        <w:rPr>
          <w:rFonts w:hint="default" w:ascii="Times New Roman" w:hAnsi="Times New Roman" w:eastAsia="仿宋_GB2312" w:cs="Times New Roman"/>
          <w:b/>
          <w:bCs/>
          <w:color w:val="424242"/>
          <w:sz w:val="32"/>
          <w:szCs w:val="32"/>
          <w:shd w:val="clear" w:color="auto" w:fill="FFFFFF"/>
        </w:rPr>
        <w:t>一是</w:t>
      </w:r>
      <w:r>
        <w:rPr>
          <w:rFonts w:hint="default" w:ascii="Times New Roman" w:hAnsi="Times New Roman" w:eastAsia="仿宋_GB2312" w:cs="Times New Roman"/>
          <w:color w:val="424242"/>
          <w:sz w:val="32"/>
          <w:szCs w:val="32"/>
          <w:shd w:val="clear" w:color="auto" w:fill="FFFFFF"/>
        </w:rPr>
        <w:t>认真学习贯彻《中华人民共和国政府信息公开条例》，通过业务培训等方式，加强业务指导，提高干部职工信息公开的意识，提升信息公开工作水平，进一步压实政务公开工作责任，不断提高我局信息公开工作的质量。</w:t>
      </w:r>
      <w:r>
        <w:rPr>
          <w:rFonts w:hint="default" w:ascii="Times New Roman" w:hAnsi="Times New Roman" w:eastAsia="仿宋_GB2312" w:cs="Times New Roman"/>
          <w:b/>
          <w:bCs/>
          <w:color w:val="424242"/>
          <w:sz w:val="32"/>
          <w:szCs w:val="32"/>
          <w:shd w:val="clear" w:color="auto" w:fill="FFFFFF"/>
        </w:rPr>
        <w:t>二是</w:t>
      </w:r>
      <w:r>
        <w:rPr>
          <w:rFonts w:hint="default" w:ascii="Times New Roman" w:hAnsi="Times New Roman" w:eastAsia="仿宋_GB2312" w:cs="Times New Roman"/>
          <w:color w:val="424242"/>
          <w:sz w:val="32"/>
          <w:szCs w:val="32"/>
          <w:shd w:val="clear" w:color="auto" w:fill="FFFFFF"/>
        </w:rPr>
        <w:t>加强对公众关注度高的政府信息的梳理，以公众关心的热点、难点问题为导向，全面、及时公开政府信息，做到应公开尽公开。扩大社会公众广泛知晓、政务参与率。</w:t>
      </w:r>
      <w:r>
        <w:rPr>
          <w:rFonts w:hint="default" w:ascii="Times New Roman" w:hAnsi="Times New Roman" w:eastAsia="仿宋_GB2312" w:cs="Times New Roman"/>
          <w:b/>
          <w:bCs/>
          <w:color w:val="424242"/>
          <w:sz w:val="32"/>
          <w:szCs w:val="32"/>
          <w:shd w:val="clear" w:color="auto" w:fill="FFFFFF"/>
        </w:rPr>
        <w:t>三是</w:t>
      </w:r>
      <w:r>
        <w:rPr>
          <w:rFonts w:hint="default" w:ascii="Times New Roman" w:hAnsi="Times New Roman" w:eastAsia="仿宋_GB2312" w:cs="Times New Roman"/>
          <w:color w:val="424242"/>
          <w:sz w:val="32"/>
          <w:szCs w:val="32"/>
          <w:shd w:val="clear" w:color="auto" w:fill="FFFFFF"/>
        </w:rPr>
        <w:t>认真梳理，逐步扩大公开内容。进一步梳理政府信息，对原有的政府信息公开目录进行补充完善，保证公开信息的完整性和准确性，不断拓展政府信息公开的广度和深度。</w:t>
      </w:r>
    </w:p>
    <w:p>
      <w:pPr>
        <w:pStyle w:val="4"/>
        <w:widowControl/>
        <w:spacing w:line="560" w:lineRule="exact"/>
        <w:ind w:firstLine="640" w:firstLineChars="200"/>
        <w:jc w:val="both"/>
        <w:rPr>
          <w:rFonts w:hint="default" w:ascii="Times New Roman" w:hAnsi="Times New Roman" w:eastAsia="黑体" w:cs="Times New Roman"/>
          <w:color w:val="333333"/>
          <w:sz w:val="32"/>
          <w:szCs w:val="32"/>
        </w:rPr>
      </w:pPr>
      <w:r>
        <w:rPr>
          <w:rFonts w:hint="default" w:ascii="Times New Roman" w:hAnsi="Times New Roman" w:eastAsia="黑体" w:cs="Times New Roman"/>
          <w:color w:val="333333"/>
          <w:sz w:val="32"/>
          <w:szCs w:val="32"/>
        </w:rPr>
        <w:t>六、其他需要报告的事项</w:t>
      </w:r>
    </w:p>
    <w:p>
      <w:pPr>
        <w:pStyle w:val="4"/>
        <w:widowControl/>
        <w:shd w:val="clear" w:color="auto" w:fill="FFFFFF"/>
        <w:spacing w:line="560" w:lineRule="exact"/>
        <w:ind w:firstLine="640" w:firstLineChars="200"/>
        <w:jc w:val="both"/>
        <w:rPr>
          <w:rStyle w:val="7"/>
          <w:rFonts w:hint="default" w:ascii="Times New Roman" w:hAnsi="Times New Roman" w:eastAsia="仿宋_GB2312" w:cs="Times New Roman"/>
          <w:b w:val="0"/>
          <w:color w:val="424242"/>
          <w:sz w:val="32"/>
          <w:szCs w:val="32"/>
          <w:shd w:val="clear" w:color="auto" w:fill="FFFFFF"/>
          <w:lang w:val="en-US" w:eastAsia="zh-CN"/>
        </w:rPr>
      </w:pPr>
      <w:r>
        <w:rPr>
          <w:rStyle w:val="7"/>
          <w:rFonts w:hint="default" w:ascii="Times New Roman" w:hAnsi="Times New Roman" w:eastAsia="仿宋_GB2312" w:cs="Times New Roman"/>
          <w:b w:val="0"/>
          <w:color w:val="424242"/>
          <w:sz w:val="32"/>
          <w:szCs w:val="32"/>
          <w:shd w:val="clear" w:color="auto" w:fill="FFFFFF"/>
          <w:lang w:val="en-US" w:eastAsia="zh-CN"/>
        </w:rPr>
        <w:t>严格贯彻落实《中华人民共和国政府信息公开条例》，及时更新政府信息公开指南，通过信件、电子邮箱、当面申请等多种形式受理依申请公开，健全登记、审核、办理、答复、归档工作制度，加强工作规范；全年</w:t>
      </w:r>
      <w:r>
        <w:rPr>
          <w:rStyle w:val="7"/>
          <w:rFonts w:hint="default" w:ascii="Times New Roman" w:hAnsi="Times New Roman" w:eastAsia="仿宋_GB2312" w:cs="Times New Roman"/>
          <w:b w:val="0"/>
          <w:color w:val="424242"/>
          <w:sz w:val="32"/>
          <w:szCs w:val="32"/>
          <w:shd w:val="clear" w:color="auto" w:fill="FFFFFF"/>
        </w:rPr>
        <w:t>共承办人大议案及建议</w:t>
      </w:r>
      <w:r>
        <w:rPr>
          <w:rStyle w:val="7"/>
          <w:rFonts w:hint="default" w:ascii="Times New Roman" w:hAnsi="Times New Roman" w:eastAsia="仿宋_GB2312" w:cs="Times New Roman"/>
          <w:b w:val="0"/>
          <w:color w:val="424242"/>
          <w:sz w:val="32"/>
          <w:szCs w:val="32"/>
          <w:shd w:val="clear" w:color="auto" w:fill="FFFFFF"/>
          <w:lang w:val="en-US" w:eastAsia="zh-CN"/>
        </w:rPr>
        <w:t>8</w:t>
      </w:r>
      <w:r>
        <w:rPr>
          <w:rStyle w:val="7"/>
          <w:rFonts w:hint="default" w:ascii="Times New Roman" w:hAnsi="Times New Roman" w:eastAsia="仿宋_GB2312" w:cs="Times New Roman"/>
          <w:b w:val="0"/>
          <w:color w:val="424242"/>
          <w:sz w:val="32"/>
          <w:szCs w:val="32"/>
          <w:shd w:val="clear" w:color="auto" w:fill="FFFFFF"/>
        </w:rPr>
        <w:t>件，其中主办</w:t>
      </w:r>
      <w:r>
        <w:rPr>
          <w:rStyle w:val="7"/>
          <w:rFonts w:hint="default" w:ascii="Times New Roman" w:hAnsi="Times New Roman" w:eastAsia="仿宋_GB2312" w:cs="Times New Roman"/>
          <w:b w:val="0"/>
          <w:color w:val="424242"/>
          <w:sz w:val="32"/>
          <w:szCs w:val="32"/>
          <w:shd w:val="clear" w:color="auto" w:fill="FFFFFF"/>
          <w:lang w:val="en-US" w:eastAsia="zh-CN"/>
        </w:rPr>
        <w:t>5</w:t>
      </w:r>
      <w:r>
        <w:rPr>
          <w:rStyle w:val="7"/>
          <w:rFonts w:hint="default" w:ascii="Times New Roman" w:hAnsi="Times New Roman" w:eastAsia="仿宋_GB2312" w:cs="Times New Roman"/>
          <w:b w:val="0"/>
          <w:color w:val="424242"/>
          <w:sz w:val="32"/>
          <w:szCs w:val="32"/>
          <w:shd w:val="clear" w:color="auto" w:fill="FFFFFF"/>
        </w:rPr>
        <w:t>件、会办</w:t>
      </w:r>
      <w:r>
        <w:rPr>
          <w:rStyle w:val="7"/>
          <w:rFonts w:hint="default" w:ascii="Times New Roman" w:hAnsi="Times New Roman" w:eastAsia="仿宋_GB2312" w:cs="Times New Roman"/>
          <w:b w:val="0"/>
          <w:color w:val="424242"/>
          <w:sz w:val="32"/>
          <w:szCs w:val="32"/>
          <w:shd w:val="clear" w:color="auto" w:fill="FFFFFF"/>
          <w:lang w:val="en-US" w:eastAsia="zh-CN"/>
        </w:rPr>
        <w:t>3</w:t>
      </w:r>
      <w:r>
        <w:rPr>
          <w:rStyle w:val="7"/>
          <w:rFonts w:hint="default" w:ascii="Times New Roman" w:hAnsi="Times New Roman" w:eastAsia="仿宋_GB2312" w:cs="Times New Roman"/>
          <w:b w:val="0"/>
          <w:color w:val="424242"/>
          <w:sz w:val="32"/>
          <w:szCs w:val="32"/>
          <w:shd w:val="clear" w:color="auto" w:fill="FFFFFF"/>
        </w:rPr>
        <w:t>件。承办政协议案及建议</w:t>
      </w:r>
      <w:r>
        <w:rPr>
          <w:rStyle w:val="7"/>
          <w:rFonts w:hint="default" w:ascii="Times New Roman" w:hAnsi="Times New Roman" w:eastAsia="仿宋_GB2312" w:cs="Times New Roman"/>
          <w:b w:val="0"/>
          <w:color w:val="424242"/>
          <w:sz w:val="32"/>
          <w:szCs w:val="32"/>
          <w:shd w:val="clear" w:color="auto" w:fill="FFFFFF"/>
          <w:lang w:val="en-US" w:eastAsia="zh-CN"/>
        </w:rPr>
        <w:t>1</w:t>
      </w:r>
      <w:r>
        <w:rPr>
          <w:rStyle w:val="7"/>
          <w:rFonts w:hint="default" w:ascii="Times New Roman" w:hAnsi="Times New Roman" w:eastAsia="仿宋_GB2312" w:cs="Times New Roman"/>
          <w:b w:val="0"/>
          <w:color w:val="424242"/>
          <w:sz w:val="32"/>
          <w:szCs w:val="32"/>
          <w:shd w:val="clear" w:color="auto" w:fill="FFFFFF"/>
        </w:rPr>
        <w:t>件，其中主办</w:t>
      </w:r>
      <w:r>
        <w:rPr>
          <w:rStyle w:val="7"/>
          <w:rFonts w:hint="default" w:ascii="Times New Roman" w:hAnsi="Times New Roman" w:eastAsia="仿宋_GB2312" w:cs="Times New Roman"/>
          <w:b w:val="0"/>
          <w:color w:val="424242"/>
          <w:sz w:val="32"/>
          <w:szCs w:val="32"/>
          <w:shd w:val="clear" w:color="auto" w:fill="FFFFFF"/>
          <w:lang w:val="en-US" w:eastAsia="zh-CN"/>
        </w:rPr>
        <w:t>1</w:t>
      </w:r>
      <w:r>
        <w:rPr>
          <w:rStyle w:val="7"/>
          <w:rFonts w:hint="default" w:ascii="Times New Roman" w:hAnsi="Times New Roman" w:eastAsia="仿宋_GB2312" w:cs="Times New Roman"/>
          <w:b w:val="0"/>
          <w:color w:val="424242"/>
          <w:sz w:val="32"/>
          <w:szCs w:val="32"/>
          <w:shd w:val="clear" w:color="auto" w:fill="FFFFFF"/>
        </w:rPr>
        <w:t>件。对于主办的议案及建议我局第一时间与代表见面，并告知进展情况，对于会办的议案及建议我局积极配合主办单位的工作，所有议案及建议均按时按要求办理完毕，办结率100%，满意率100%。</w:t>
      </w:r>
      <w:r>
        <w:rPr>
          <w:rStyle w:val="7"/>
          <w:rFonts w:hint="default" w:ascii="Times New Roman" w:hAnsi="Times New Roman" w:eastAsia="仿宋_GB2312" w:cs="Times New Roman"/>
          <w:b w:val="0"/>
          <w:color w:val="424242"/>
          <w:sz w:val="32"/>
          <w:szCs w:val="32"/>
          <w:shd w:val="clear" w:color="auto" w:fill="FFFFFF"/>
          <w:lang w:val="en-US" w:eastAsia="zh-CN"/>
        </w:rPr>
        <w:t>全年无政府信息处理费收取情况。</w:t>
      </w:r>
    </w:p>
    <w:p>
      <w:pPr>
        <w:pStyle w:val="4"/>
        <w:widowControl/>
        <w:shd w:val="clear" w:color="auto" w:fill="FFFFFF"/>
        <w:spacing w:line="560" w:lineRule="exact"/>
        <w:ind w:firstLine="640" w:firstLineChars="200"/>
        <w:jc w:val="both"/>
        <w:rPr>
          <w:rFonts w:ascii="仿宋_GB2312" w:hAnsi="宋体" w:eastAsia="仿宋_GB2312"/>
          <w:b/>
          <w:bCs/>
          <w:color w:val="424242"/>
          <w:sz w:val="32"/>
          <w:szCs w:val="32"/>
          <w:shd w:val="clear" w:color="auto" w:fill="FFFFFF"/>
        </w:rPr>
      </w:pPr>
      <w:r>
        <w:rPr>
          <w:rStyle w:val="7"/>
          <w:rFonts w:hint="default" w:ascii="Times New Roman" w:hAnsi="Times New Roman" w:eastAsia="仿宋_GB2312" w:cs="Times New Roman"/>
          <w:b w:val="0"/>
          <w:color w:val="424242"/>
          <w:sz w:val="32"/>
          <w:szCs w:val="32"/>
          <w:shd w:val="clear" w:color="auto" w:fill="FFFFFF"/>
          <w:lang w:val="en-US" w:eastAsia="zh-CN"/>
        </w:rPr>
        <w:t>下一步，我局将进一步加强指导培训力度，以政府网站与门户公开平台为基础，扩大公开范围，增强解读力度，加强制度规范，进一步推进汉阳区政务公开工作再上新台阶。</w:t>
      </w:r>
    </w:p>
    <w:sectPr>
      <w:headerReference r:id="rId3" w:type="default"/>
      <w:footerReference r:id="rId5" w:type="default"/>
      <w:headerReference r:id="rId4" w:type="even"/>
      <w:footerReference r:id="rId6" w:type="even"/>
      <w:pgSz w:w="11906" w:h="16838"/>
      <w:pgMar w:top="2098" w:right="1474" w:bottom="1984" w:left="1587" w:header="851" w:footer="124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A35671-3F78-4B74-8A46-312C7BDFE0C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F032081-894A-4875-93D6-04F6414D037A}"/>
  </w:font>
  <w:font w:name="方正小标宋_GBK">
    <w:panose1 w:val="03000509000000000000"/>
    <w:charset w:val="86"/>
    <w:family w:val="script"/>
    <w:pitch w:val="default"/>
    <w:sig w:usb0="00000001" w:usb1="080E0000" w:usb2="00000000" w:usb3="00000000" w:csb0="00040000" w:csb1="00000000"/>
    <w:embedRegular r:id="rId3" w:fontKey="{7723ED44-C9D2-4B9F-AA99-AD26A8A87939}"/>
  </w:font>
  <w:font w:name="楷体">
    <w:panose1 w:val="02010609060101010101"/>
    <w:charset w:val="86"/>
    <w:family w:val="modern"/>
    <w:pitch w:val="default"/>
    <w:sig w:usb0="800002BF" w:usb1="38CF7CFA" w:usb2="00000016" w:usb3="00000000" w:csb0="00040001" w:csb1="00000000"/>
    <w:embedRegular r:id="rId4" w:fontKey="{9396FDED-004B-4FEB-BC79-0C3ED82FE032}"/>
  </w:font>
  <w:font w:name="仿宋_GB2312">
    <w:panose1 w:val="02010609030101010101"/>
    <w:charset w:val="86"/>
    <w:family w:val="modern"/>
    <w:pitch w:val="default"/>
    <w:sig w:usb0="00000001" w:usb1="080E0000" w:usb2="00000000" w:usb3="00000000" w:csb0="00040000" w:csb1="00000000"/>
    <w:embedRegular r:id="rId5" w:fontKey="{66B5DCEA-8235-407B-866C-37F98259FDBB}"/>
  </w:font>
  <w:font w:name="楷体_GB2312">
    <w:panose1 w:val="02010609030101010101"/>
    <w:charset w:val="86"/>
    <w:family w:val="auto"/>
    <w:pitch w:val="default"/>
    <w:sig w:usb0="00000001" w:usb1="080E0000" w:usb2="00000000" w:usb3="00000000" w:csb0="00040000" w:csb1="00000000"/>
    <w:embedRegular r:id="rId6" w:fontKey="{2CB40CE6-CBEE-4468-8513-10753CF47DCC}"/>
  </w:font>
  <w:font w:name="仿宋">
    <w:panose1 w:val="02010609060101010101"/>
    <w:charset w:val="86"/>
    <w:family w:val="modern"/>
    <w:pitch w:val="default"/>
    <w:sig w:usb0="800002BF" w:usb1="38CF7CFA" w:usb2="00000016" w:usb3="00000000" w:csb0="00040001" w:csb1="00000000"/>
    <w:embedRegular r:id="rId7" w:fontKey="{E27DE839-AED4-43F0-ACAB-5003CAE2D81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right="420" w:right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right="420" w:right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420" w:left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420" w:left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wZTkzMzk0YzgzNDgzN2Y5ODEyOTI1YzY0M2MzOGEifQ=="/>
  </w:docVars>
  <w:rsids>
    <w:rsidRoot w:val="238B1E27"/>
    <w:rsid w:val="0000144D"/>
    <w:rsid w:val="00031FD9"/>
    <w:rsid w:val="000847B1"/>
    <w:rsid w:val="00171D7E"/>
    <w:rsid w:val="001A6556"/>
    <w:rsid w:val="00230879"/>
    <w:rsid w:val="0025470F"/>
    <w:rsid w:val="00264E2F"/>
    <w:rsid w:val="00273054"/>
    <w:rsid w:val="002D0A80"/>
    <w:rsid w:val="002F55B4"/>
    <w:rsid w:val="002F6259"/>
    <w:rsid w:val="00402A7A"/>
    <w:rsid w:val="004161D0"/>
    <w:rsid w:val="004C6ADE"/>
    <w:rsid w:val="006369F9"/>
    <w:rsid w:val="006A7C2E"/>
    <w:rsid w:val="006B37B7"/>
    <w:rsid w:val="0070197D"/>
    <w:rsid w:val="007D0E61"/>
    <w:rsid w:val="00AD7449"/>
    <w:rsid w:val="00AF30CD"/>
    <w:rsid w:val="00B509E7"/>
    <w:rsid w:val="00BF53EA"/>
    <w:rsid w:val="00D9365D"/>
    <w:rsid w:val="00E55856"/>
    <w:rsid w:val="00F32315"/>
    <w:rsid w:val="01BC2887"/>
    <w:rsid w:val="0A3F1F5A"/>
    <w:rsid w:val="177257BD"/>
    <w:rsid w:val="238B1E27"/>
    <w:rsid w:val="246E2621"/>
    <w:rsid w:val="25776B8C"/>
    <w:rsid w:val="2C35158D"/>
    <w:rsid w:val="34D64538"/>
    <w:rsid w:val="380214FF"/>
    <w:rsid w:val="383E3E48"/>
    <w:rsid w:val="397119C0"/>
    <w:rsid w:val="4EFB0C4C"/>
    <w:rsid w:val="4FE54F32"/>
    <w:rsid w:val="533F07AB"/>
    <w:rsid w:val="55F84946"/>
    <w:rsid w:val="617E60FC"/>
    <w:rsid w:val="66DF6F38"/>
    <w:rsid w:val="70AC673F"/>
    <w:rsid w:val="747B5869"/>
    <w:rsid w:val="78031DD0"/>
    <w:rsid w:val="79FB1236"/>
    <w:rsid w:val="7AD15685"/>
    <w:rsid w:val="7AF24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qFormat/>
    <w:uiPriority w:val="0"/>
    <w:pPr>
      <w:tabs>
        <w:tab w:val="center" w:pos="4153"/>
        <w:tab w:val="right" w:pos="8306"/>
      </w:tabs>
      <w:snapToGrid w:val="0"/>
      <w:jc w:val="left"/>
    </w:pPr>
    <w:rPr>
      <w:sz w:val="18"/>
      <w:szCs w:val="18"/>
    </w:rPr>
  </w:style>
  <w:style w:type="paragraph" w:styleId="3">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jc w:val="left"/>
    </w:pPr>
    <w:rPr>
      <w:rFonts w:cs="Times New Roman"/>
      <w:kern w:val="0"/>
      <w:sz w:val="24"/>
    </w:rPr>
  </w:style>
  <w:style w:type="character" w:styleId="7">
    <w:name w:val="Strong"/>
    <w:basedOn w:val="6"/>
    <w:autoRedefine/>
    <w:qFormat/>
    <w:uiPriority w:val="22"/>
    <w:rPr>
      <w:b/>
      <w:bCs/>
    </w:rPr>
  </w:style>
  <w:style w:type="character" w:styleId="8">
    <w:name w:val="FollowedHyperlink"/>
    <w:basedOn w:val="6"/>
    <w:autoRedefine/>
    <w:qFormat/>
    <w:uiPriority w:val="0"/>
    <w:rPr>
      <w:color w:val="252525"/>
      <w:u w:val="none"/>
    </w:rPr>
  </w:style>
  <w:style w:type="character" w:styleId="9">
    <w:name w:val="Hyperlink"/>
    <w:basedOn w:val="6"/>
    <w:autoRedefine/>
    <w:qFormat/>
    <w:uiPriority w:val="0"/>
    <w:rPr>
      <w:color w:val="252525"/>
      <w:u w:val="none"/>
    </w:rPr>
  </w:style>
  <w:style w:type="character" w:customStyle="1" w:styleId="10">
    <w:name w:val="页眉 Char"/>
    <w:basedOn w:val="6"/>
    <w:link w:val="3"/>
    <w:autoRedefine/>
    <w:qFormat/>
    <w:uiPriority w:val="0"/>
    <w:rPr>
      <w:kern w:val="2"/>
      <w:sz w:val="18"/>
      <w:szCs w:val="18"/>
    </w:rPr>
  </w:style>
  <w:style w:type="character" w:customStyle="1" w:styleId="11">
    <w:name w:val="页脚 Char"/>
    <w:basedOn w:val="6"/>
    <w:link w:val="2"/>
    <w:autoRedefine/>
    <w:qFormat/>
    <w:uiPriority w:val="0"/>
    <w:rPr>
      <w:kern w:val="2"/>
      <w:sz w:val="18"/>
      <w:szCs w:val="18"/>
    </w:rPr>
  </w:style>
  <w:style w:type="character" w:customStyle="1" w:styleId="12">
    <w:name w:val="hover32"/>
    <w:basedOn w:val="6"/>
    <w:autoRedefine/>
    <w:qFormat/>
    <w:uiPriority w:val="0"/>
  </w:style>
  <w:style w:type="character" w:customStyle="1" w:styleId="13">
    <w:name w:val="hover33"/>
    <w:basedOn w:val="6"/>
    <w:autoRedefine/>
    <w:qFormat/>
    <w:uiPriority w:val="0"/>
  </w:style>
  <w:style w:type="character" w:customStyle="1" w:styleId="14">
    <w:name w:val="hover"/>
    <w:basedOn w:val="6"/>
    <w:autoRedefine/>
    <w:qFormat/>
    <w:uiPriority w:val="0"/>
  </w:style>
  <w:style w:type="character" w:customStyle="1" w:styleId="15">
    <w:name w:val="hover1"/>
    <w:basedOn w:val="6"/>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2170</Words>
  <Characters>2242</Characters>
  <Lines>18</Lines>
  <Paragraphs>5</Paragraphs>
  <TotalTime>2</TotalTime>
  <ScaleCrop>false</ScaleCrop>
  <LinksUpToDate>false</LinksUpToDate>
  <CharactersWithSpaces>2253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2021-12-21T15:19:00Z</dcterms:created>
  <dc:creator>WPS_1624785580</dc:creator>
  <cp:lastModifiedBy>李张弛</cp:lastModifiedBy>
  <cp:lastPrinted>2022-12-29T03:14:00Z</cp:lastPrinted>
  <dcterms:modified xsi:type="dcterms:W3CDTF">2024-01-05T02:41:18Z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43DDB1262A504AB2843042A0F70EDBB6_13</vt:lpwstr>
  </property>
</Properties>
</file>